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600"/>
        <w:jc w:val="left"/>
        <w:rPr>
          <w:rFonts w:hAnsi="宋体" w:eastAsia="仿宋" w:cs="宋体-18030"/>
          <w:color w:val="000000" w:themeColor="text1"/>
          <w:sz w:val="30"/>
          <w:szCs w:val="30"/>
          <w14:textFill>
            <w14:solidFill>
              <w14:schemeClr w14:val="tx1"/>
            </w14:solidFill>
          </w14:textFill>
        </w:rPr>
      </w:pPr>
    </w:p>
    <w:p>
      <w:pPr>
        <w:tabs>
          <w:tab w:val="left" w:pos="4680"/>
        </w:tabs>
        <w:spacing w:line="480" w:lineRule="exact"/>
        <w:ind w:firstLine="883"/>
        <w:jc w:val="center"/>
        <w:rPr>
          <w:rFonts w:ascii="宋体" w:hAnsi="宋体" w:cs="宋体-18030"/>
          <w:b/>
          <w:color w:val="000000" w:themeColor="text1"/>
          <w:sz w:val="44"/>
          <w:szCs w:val="44"/>
          <w14:textFill>
            <w14:solidFill>
              <w14:schemeClr w14:val="tx1"/>
            </w14:solidFill>
          </w14:textFill>
        </w:rPr>
      </w:pPr>
    </w:p>
    <w:p>
      <w:pPr>
        <w:tabs>
          <w:tab w:val="left" w:pos="4680"/>
        </w:tabs>
        <w:spacing w:line="480" w:lineRule="exact"/>
        <w:ind w:firstLine="883"/>
        <w:jc w:val="center"/>
        <w:rPr>
          <w:rFonts w:ascii="宋体" w:hAnsi="宋体" w:cs="宋体-18030"/>
          <w:b/>
          <w:color w:val="000000" w:themeColor="text1"/>
          <w:sz w:val="44"/>
          <w:szCs w:val="44"/>
          <w14:textFill>
            <w14:solidFill>
              <w14:schemeClr w14:val="tx1"/>
            </w14:solidFill>
          </w14:textFill>
        </w:rPr>
      </w:pPr>
    </w:p>
    <w:p>
      <w:pPr>
        <w:tabs>
          <w:tab w:val="left" w:pos="4680"/>
        </w:tabs>
        <w:spacing w:line="480" w:lineRule="exact"/>
        <w:ind w:firstLine="883"/>
        <w:jc w:val="center"/>
        <w:rPr>
          <w:rFonts w:ascii="宋体" w:hAnsi="宋体" w:cs="宋体-18030"/>
          <w:b/>
          <w:color w:val="000000" w:themeColor="text1"/>
          <w:sz w:val="44"/>
          <w:szCs w:val="44"/>
          <w14:textFill>
            <w14:solidFill>
              <w14:schemeClr w14:val="tx1"/>
            </w14:solidFill>
          </w14:textFill>
        </w:rPr>
      </w:pPr>
    </w:p>
    <w:p>
      <w:pPr>
        <w:widowControl/>
        <w:tabs>
          <w:tab w:val="left" w:pos="4680"/>
        </w:tabs>
        <w:overflowPunct w:val="0"/>
        <w:adjustRightInd w:val="0"/>
        <w:spacing w:line="480" w:lineRule="auto"/>
        <w:ind w:firstLine="0" w:firstLineChars="0"/>
        <w:jc w:val="center"/>
        <w:textAlignment w:val="baseline"/>
        <w:rPr>
          <w:rFonts w:ascii="方正小标宋_GBK" w:hAnsi="方正小标宋_GBK" w:eastAsia="方正小标宋_GBK" w:cs="方正小标宋_GBK"/>
          <w:bCs/>
          <w:spacing w:val="22"/>
          <w:kern w:val="30"/>
          <w:sz w:val="36"/>
          <w:szCs w:val="36"/>
          <w:lang w:eastAsia="zh-CN"/>
        </w:rPr>
      </w:pPr>
      <w:r>
        <w:rPr>
          <w:rFonts w:hint="eastAsia" w:ascii="方正小标宋_GBK" w:hAnsi="方正小标宋_GBK" w:eastAsia="方正小标宋_GBK" w:cs="方正小标宋_GBK"/>
          <w:bCs/>
          <w:spacing w:val="22"/>
          <w:kern w:val="30"/>
          <w:sz w:val="36"/>
          <w:szCs w:val="36"/>
          <w:lang w:eastAsia="zh-CN"/>
        </w:rPr>
        <w:t>2023</w:t>
      </w:r>
      <w:r>
        <w:rPr>
          <w:rFonts w:ascii="方正小标宋_GBK" w:hAnsi="方正小标宋_GBK" w:eastAsia="方正小标宋_GBK" w:cs="方正小标宋_GBK"/>
          <w:bCs/>
          <w:spacing w:val="22"/>
          <w:kern w:val="30"/>
          <w:sz w:val="36"/>
          <w:szCs w:val="36"/>
          <w:lang w:eastAsia="zh-CN"/>
        </w:rPr>
        <w:t>年全国行业职业技能竞赛</w:t>
      </w:r>
    </w:p>
    <w:p>
      <w:pPr>
        <w:widowControl/>
        <w:spacing w:line="480" w:lineRule="exact"/>
        <w:ind w:firstLine="808"/>
        <w:jc w:val="left"/>
        <w:rPr>
          <w:color w:val="000000" w:themeColor="text1"/>
          <w:lang w:eastAsia="zh-CN"/>
          <w14:textFill>
            <w14:solidFill>
              <w14:schemeClr w14:val="tx1"/>
            </w14:solidFill>
          </w14:textFill>
        </w:rPr>
      </w:pPr>
      <w:bookmarkStart w:id="0" w:name="_Toc3129"/>
      <w:r>
        <w:rPr>
          <w:rFonts w:hint="eastAsia" w:ascii="方正小标宋_GBK" w:hAnsi="方正小标宋_GBK" w:eastAsia="方正小标宋_GBK" w:cs="方正小标宋_GBK"/>
          <w:bCs/>
          <w:spacing w:val="22"/>
          <w:kern w:val="30"/>
          <w:sz w:val="36"/>
          <w:szCs w:val="36"/>
          <w:lang w:eastAsia="zh-CN"/>
        </w:rPr>
        <w:t>——第三届全国仪器仪表行业职业技能竞赛</w:t>
      </w:r>
      <w:bookmarkEnd w:id="0"/>
    </w:p>
    <w:p>
      <w:pPr>
        <w:widowControl/>
        <w:spacing w:line="480" w:lineRule="exact"/>
        <w:ind w:firstLine="560"/>
        <w:jc w:val="left"/>
        <w:rPr>
          <w:color w:val="000000" w:themeColor="text1"/>
          <w:lang w:eastAsia="zh-CN"/>
          <w14:textFill>
            <w14:solidFill>
              <w14:schemeClr w14:val="tx1"/>
            </w14:solidFill>
          </w14:textFill>
        </w:rPr>
      </w:pPr>
    </w:p>
    <w:p>
      <w:pPr>
        <w:widowControl/>
        <w:spacing w:line="480" w:lineRule="exact"/>
        <w:ind w:firstLine="560"/>
        <w:jc w:val="left"/>
        <w:rPr>
          <w:color w:val="000000" w:themeColor="text1"/>
          <w:lang w:eastAsia="zh-CN"/>
          <w14:textFill>
            <w14:solidFill>
              <w14:schemeClr w14:val="tx1"/>
            </w14:solidFill>
          </w14:textFill>
        </w:rPr>
      </w:pPr>
    </w:p>
    <w:p>
      <w:pPr>
        <w:widowControl/>
        <w:spacing w:line="480" w:lineRule="exact"/>
        <w:ind w:firstLine="560"/>
        <w:jc w:val="left"/>
        <w:rPr>
          <w:color w:val="000000" w:themeColor="text1"/>
          <w:lang w:eastAsia="zh-CN"/>
          <w14:textFill>
            <w14:solidFill>
              <w14:schemeClr w14:val="tx1"/>
            </w14:solidFill>
          </w14:textFill>
        </w:rPr>
      </w:pPr>
    </w:p>
    <w:p>
      <w:pPr>
        <w:widowControl/>
        <w:spacing w:line="480" w:lineRule="exact"/>
        <w:ind w:firstLine="560"/>
        <w:jc w:val="left"/>
        <w:rPr>
          <w:color w:val="000000" w:themeColor="text1"/>
          <w:lang w:eastAsia="zh-CN"/>
          <w14:textFill>
            <w14:solidFill>
              <w14:schemeClr w14:val="tx1"/>
            </w14:solidFill>
          </w14:textFill>
        </w:rPr>
      </w:pPr>
    </w:p>
    <w:p>
      <w:pPr>
        <w:tabs>
          <w:tab w:val="left" w:pos="4680"/>
        </w:tabs>
        <w:autoSpaceDE/>
        <w:autoSpaceDN/>
        <w:spacing w:line="480" w:lineRule="auto"/>
        <w:ind w:firstLine="0" w:firstLineChars="0"/>
        <w:jc w:val="center"/>
        <w:rPr>
          <w:rFonts w:ascii="方正小标宋_GBK" w:hAnsi="方正小标宋_GBK" w:eastAsia="方正小标宋_GBK" w:cs="方正小标宋_GBK"/>
          <w:bCs/>
          <w:kern w:val="2"/>
          <w:sz w:val="44"/>
          <w:szCs w:val="44"/>
          <w:lang w:eastAsia="zh-CN"/>
        </w:rPr>
      </w:pPr>
      <w:r>
        <w:rPr>
          <w:rFonts w:hint="eastAsia" w:ascii="方正小标宋_GBK" w:hAnsi="方正小标宋_GBK" w:eastAsia="方正小标宋_GBK" w:cs="方正小标宋_GBK"/>
          <w:bCs/>
          <w:kern w:val="2"/>
          <w:sz w:val="44"/>
          <w:szCs w:val="44"/>
          <w:lang w:eastAsia="zh-CN"/>
        </w:rPr>
        <w:t>电子设备调试工</w:t>
      </w:r>
    </w:p>
    <w:p>
      <w:pPr>
        <w:tabs>
          <w:tab w:val="left" w:pos="4680"/>
        </w:tabs>
        <w:autoSpaceDE/>
        <w:autoSpaceDN/>
        <w:spacing w:line="480" w:lineRule="auto"/>
        <w:ind w:firstLine="0" w:firstLineChars="0"/>
        <w:jc w:val="center"/>
        <w:rPr>
          <w:rFonts w:ascii="方正小标宋_GBK" w:hAnsi="方正小标宋_GBK" w:eastAsia="方正小标宋_GBK" w:cs="方正小标宋_GBK"/>
          <w:bCs/>
          <w:kern w:val="2"/>
          <w:sz w:val="44"/>
          <w:szCs w:val="44"/>
          <w:lang w:eastAsia="zh-CN"/>
        </w:rPr>
      </w:pPr>
      <w:r>
        <w:rPr>
          <w:rFonts w:hint="eastAsia" w:ascii="方正小标宋_GBK" w:hAnsi="方正小标宋_GBK" w:eastAsia="方正小标宋_GBK" w:cs="方正小标宋_GBK"/>
          <w:bCs/>
          <w:kern w:val="2"/>
          <w:sz w:val="44"/>
          <w:szCs w:val="44"/>
          <w:lang w:eastAsia="zh-CN"/>
        </w:rPr>
        <w:t>（系统测试与运维方向）赛项</w:t>
      </w:r>
    </w:p>
    <w:p>
      <w:pPr>
        <w:tabs>
          <w:tab w:val="left" w:pos="4680"/>
        </w:tabs>
        <w:autoSpaceDE/>
        <w:autoSpaceDN/>
        <w:spacing w:line="480" w:lineRule="auto"/>
        <w:ind w:firstLine="0" w:firstLineChars="0"/>
        <w:jc w:val="center"/>
        <w:rPr>
          <w:rFonts w:ascii="方正小标宋_GBK" w:hAnsi="方正小标宋_GBK" w:eastAsia="方正小标宋_GBK" w:cs="方正小标宋_GBK"/>
          <w:bCs/>
          <w:kern w:val="2"/>
          <w:sz w:val="44"/>
          <w:szCs w:val="44"/>
          <w:lang w:eastAsia="zh-CN"/>
        </w:rPr>
      </w:pPr>
      <w:r>
        <w:rPr>
          <w:rFonts w:hint="eastAsia" w:ascii="方正小标宋_GBK" w:hAnsi="方正小标宋_GBK" w:eastAsia="方正小标宋_GBK" w:cs="方正小标宋_GBK"/>
          <w:bCs/>
          <w:kern w:val="2"/>
          <w:sz w:val="44"/>
          <w:szCs w:val="44"/>
          <w:lang w:eastAsia="zh-CN"/>
        </w:rPr>
        <w:t>竞赛规程</w:t>
      </w:r>
    </w:p>
    <w:p>
      <w:pPr>
        <w:tabs>
          <w:tab w:val="left" w:pos="4680"/>
        </w:tabs>
        <w:spacing w:line="480" w:lineRule="auto"/>
        <w:ind w:firstLine="960"/>
        <w:jc w:val="center"/>
        <w:rPr>
          <w:rFonts w:ascii="方正小标宋_GBK" w:hAnsi="方正小标宋_GBK" w:eastAsia="方正小标宋_GBK" w:cs="方正小标宋_GBK"/>
          <w:bCs/>
          <w:color w:val="000000" w:themeColor="text1"/>
          <w:sz w:val="48"/>
          <w:szCs w:val="48"/>
          <w:lang w:eastAsia="zh-CN"/>
          <w14:textFill>
            <w14:solidFill>
              <w14:schemeClr w14:val="tx1"/>
            </w14:solidFill>
          </w14:textFill>
        </w:rPr>
      </w:pPr>
    </w:p>
    <w:p>
      <w:pPr>
        <w:spacing w:line="480" w:lineRule="exact"/>
        <w:ind w:firstLine="560"/>
        <w:rPr>
          <w:rFonts w:ascii="宋体" w:hAnsi="宋体" w:cs="宋体-18030"/>
          <w:color w:val="000000" w:themeColor="text1"/>
          <w:szCs w:val="21"/>
          <w:lang w:eastAsia="zh-CN"/>
          <w14:textFill>
            <w14:solidFill>
              <w14:schemeClr w14:val="tx1"/>
            </w14:solidFill>
          </w14:textFill>
        </w:rPr>
      </w:pPr>
    </w:p>
    <w:p>
      <w:pPr>
        <w:spacing w:line="480" w:lineRule="exact"/>
        <w:ind w:firstLine="560"/>
        <w:rPr>
          <w:rFonts w:ascii="宋体" w:hAnsi="宋体" w:cs="宋体-18030"/>
          <w:color w:val="000000" w:themeColor="text1"/>
          <w:szCs w:val="21"/>
          <w:lang w:eastAsia="zh-CN"/>
          <w14:textFill>
            <w14:solidFill>
              <w14:schemeClr w14:val="tx1"/>
            </w14:solidFill>
          </w14:textFill>
        </w:rPr>
      </w:pPr>
    </w:p>
    <w:p>
      <w:pPr>
        <w:spacing w:line="480" w:lineRule="exact"/>
        <w:ind w:firstLine="560"/>
        <w:rPr>
          <w:rFonts w:ascii="宋体" w:hAnsi="宋体" w:cs="宋体-18030"/>
          <w:color w:val="000000" w:themeColor="text1"/>
          <w:szCs w:val="21"/>
          <w:lang w:eastAsia="zh-CN"/>
          <w14:textFill>
            <w14:solidFill>
              <w14:schemeClr w14:val="tx1"/>
            </w14:solidFill>
          </w14:textFill>
        </w:rPr>
      </w:pPr>
    </w:p>
    <w:p>
      <w:pPr>
        <w:spacing w:line="480" w:lineRule="exact"/>
        <w:ind w:firstLine="560"/>
        <w:rPr>
          <w:rFonts w:ascii="宋体" w:hAnsi="宋体" w:cs="宋体-18030"/>
          <w:color w:val="000000" w:themeColor="text1"/>
          <w:szCs w:val="21"/>
          <w:lang w:eastAsia="zh-CN"/>
          <w14:textFill>
            <w14:solidFill>
              <w14:schemeClr w14:val="tx1"/>
            </w14:solidFill>
          </w14:textFill>
        </w:rPr>
      </w:pPr>
    </w:p>
    <w:p>
      <w:pPr>
        <w:pStyle w:val="14"/>
        <w:ind w:firstLine="560"/>
        <w:rPr>
          <w:lang w:eastAsia="zh-CN"/>
        </w:rPr>
      </w:pPr>
    </w:p>
    <w:p>
      <w:pPr>
        <w:spacing w:line="480" w:lineRule="exact"/>
        <w:ind w:firstLine="560"/>
        <w:rPr>
          <w:rFonts w:ascii="宋体" w:hAnsi="宋体" w:cs="宋体-18030"/>
          <w:color w:val="000000" w:themeColor="text1"/>
          <w:szCs w:val="21"/>
          <w:lang w:eastAsia="zh-CN"/>
          <w14:textFill>
            <w14:solidFill>
              <w14:schemeClr w14:val="tx1"/>
            </w14:solidFill>
          </w14:textFill>
        </w:rPr>
      </w:pPr>
    </w:p>
    <w:p>
      <w:pPr>
        <w:spacing w:line="480" w:lineRule="exact"/>
        <w:ind w:firstLine="560"/>
        <w:rPr>
          <w:rFonts w:ascii="宋体" w:hAnsi="宋体" w:cs="宋体-18030"/>
          <w:color w:val="000000" w:themeColor="text1"/>
          <w:szCs w:val="21"/>
          <w:lang w:eastAsia="zh-CN"/>
          <w14:textFill>
            <w14:solidFill>
              <w14:schemeClr w14:val="tx1"/>
            </w14:solidFill>
          </w14:textFill>
        </w:rPr>
      </w:pPr>
    </w:p>
    <w:p>
      <w:pPr>
        <w:tabs>
          <w:tab w:val="left" w:pos="4680"/>
        </w:tabs>
        <w:autoSpaceDE/>
        <w:autoSpaceDN/>
        <w:spacing w:line="700" w:lineRule="exact"/>
        <w:ind w:firstLine="0" w:firstLineChars="0"/>
        <w:jc w:val="center"/>
        <w:rPr>
          <w:rFonts w:ascii="方正小标宋_GBK" w:hAnsi="方正小标宋_GBK" w:eastAsia="方正小标宋_GBK" w:cs="方正小标宋_GBK"/>
          <w:kern w:val="2"/>
          <w:sz w:val="36"/>
          <w:szCs w:val="36"/>
          <w:lang w:eastAsia="zh-CN"/>
        </w:rPr>
      </w:pPr>
      <w:r>
        <w:rPr>
          <w:rFonts w:hint="eastAsia" w:ascii="方正小标宋_GBK" w:hAnsi="方正小标宋_GBK" w:eastAsia="方正小标宋_GBK" w:cs="方正小标宋_GBK"/>
          <w:kern w:val="2"/>
          <w:sz w:val="36"/>
          <w:szCs w:val="36"/>
          <w:lang w:eastAsia="zh-CN"/>
        </w:rPr>
        <w:t>全国组委会技术工作委员会</w:t>
      </w:r>
    </w:p>
    <w:p>
      <w:pPr>
        <w:tabs>
          <w:tab w:val="left" w:pos="4680"/>
        </w:tabs>
        <w:autoSpaceDE/>
        <w:autoSpaceDN/>
        <w:spacing w:line="700" w:lineRule="exact"/>
        <w:ind w:firstLine="0" w:firstLineChars="0"/>
        <w:jc w:val="center"/>
        <w:rPr>
          <w:rFonts w:ascii="方正小标宋_GBK" w:hAnsi="方正小标宋_GBK" w:eastAsia="方正小标宋_GBK" w:cs="方正小标宋_GBK"/>
          <w:kern w:val="2"/>
          <w:sz w:val="36"/>
          <w:szCs w:val="36"/>
          <w:lang w:eastAsia="zh-CN"/>
        </w:rPr>
      </w:pPr>
      <w:r>
        <w:rPr>
          <w:rFonts w:hint="eastAsia" w:ascii="方正小标宋_GBK" w:hAnsi="方正小标宋_GBK" w:eastAsia="方正小标宋_GBK" w:cs="方正小标宋_GBK"/>
          <w:kern w:val="2"/>
          <w:sz w:val="36"/>
          <w:szCs w:val="36"/>
          <w:lang w:eastAsia="zh-CN"/>
        </w:rPr>
        <w:t>2023年8月</w:t>
      </w:r>
    </w:p>
    <w:p>
      <w:pPr>
        <w:tabs>
          <w:tab w:val="left" w:pos="4680"/>
        </w:tabs>
        <w:autoSpaceDE/>
        <w:autoSpaceDN/>
        <w:spacing w:line="700" w:lineRule="exact"/>
        <w:ind w:firstLine="0" w:firstLineChars="0"/>
        <w:jc w:val="center"/>
        <w:rPr>
          <w:rFonts w:ascii="方正小标宋_GBK" w:hAnsi="方正小标宋_GBK" w:eastAsia="方正小标宋_GBK" w:cs="方正小标宋_GBK"/>
          <w:kern w:val="2"/>
          <w:sz w:val="36"/>
          <w:szCs w:val="36"/>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418" w:left="1701" w:header="851" w:footer="992" w:gutter="0"/>
          <w:cols w:space="425" w:num="1"/>
          <w:docGrid w:type="lines" w:linePitch="312" w:charSpace="0"/>
        </w:sectPr>
      </w:pPr>
      <w:r>
        <w:rPr>
          <w:rFonts w:ascii="方正小标宋_GBK" w:hAnsi="方正小标宋_GBK" w:eastAsia="方正小标宋_GBK" w:cs="方正小标宋_GBK"/>
          <w:kern w:val="2"/>
          <w:sz w:val="36"/>
          <w:szCs w:val="36"/>
          <w:lang w:eastAsia="zh-CN"/>
        </w:rPr>
        <w:br w:type="page"/>
      </w:r>
    </w:p>
    <w:sdt>
      <w:sdtPr>
        <w:rPr>
          <w:rFonts w:ascii="Times New Roman" w:hAnsi="Times New Roman" w:eastAsia="仿宋_GB2312" w:cs="宋体"/>
          <w:color w:val="auto"/>
          <w:sz w:val="28"/>
          <w:szCs w:val="22"/>
          <w:lang w:val="zh-CN" w:eastAsia="en-US"/>
        </w:rPr>
        <w:id w:val="2123725797"/>
        <w:docPartObj>
          <w:docPartGallery w:val="Table of Contents"/>
          <w:docPartUnique/>
        </w:docPartObj>
      </w:sdtPr>
      <w:sdtEndPr>
        <w:rPr>
          <w:rFonts w:ascii="Times New Roman" w:hAnsi="Times New Roman" w:eastAsia="仿宋" w:cs="Times New Roman"/>
          <w:b/>
          <w:bCs/>
          <w:color w:val="auto"/>
          <w:sz w:val="28"/>
          <w:szCs w:val="22"/>
          <w:lang w:val="zh-CN" w:eastAsia="en-US"/>
        </w:rPr>
      </w:sdtEndPr>
      <w:sdtContent>
        <w:p>
          <w:pPr>
            <w:pStyle w:val="20"/>
            <w:spacing w:before="0" w:line="240" w:lineRule="auto"/>
            <w:ind w:firstLine="600"/>
            <w:jc w:val="center"/>
            <w:rPr>
              <w:rFonts w:ascii="Times New Roman" w:hAnsi="Times New Roman" w:eastAsia="仿宋" w:cs="Times New Roman"/>
              <w:b/>
              <w:bCs/>
              <w:color w:val="auto"/>
              <w:sz w:val="44"/>
              <w:szCs w:val="44"/>
            </w:rPr>
          </w:pPr>
          <w:r>
            <w:rPr>
              <w:rFonts w:ascii="Times New Roman" w:hAnsi="Times New Roman" w:eastAsia="仿宋" w:cs="Times New Roman"/>
              <w:b/>
              <w:bCs/>
              <w:color w:val="auto"/>
              <w:sz w:val="44"/>
              <w:szCs w:val="44"/>
              <w:lang w:val="zh-CN"/>
            </w:rPr>
            <w:t>目录</w:t>
          </w:r>
        </w:p>
        <w:p>
          <w:pPr>
            <w:pStyle w:val="11"/>
            <w:tabs>
              <w:tab w:val="right" w:leader="dot" w:pos="9071"/>
            </w:tabs>
            <w:ind w:firstLine="560"/>
            <w:rPr>
              <w:rFonts w:ascii="黑体" w:hAnsi="黑体" w:eastAsia="黑体"/>
            </w:rPr>
          </w:pPr>
          <w:r>
            <w:rPr>
              <w:rFonts w:ascii="Times New Roman" w:hAnsi="Times New Roman" w:eastAsia="仿宋"/>
              <w:b w:val="0"/>
            </w:rPr>
            <w:fldChar w:fldCharType="begin"/>
          </w:r>
          <w:r>
            <w:rPr>
              <w:rFonts w:ascii="Times New Roman" w:hAnsi="Times New Roman" w:eastAsia="仿宋"/>
              <w:b w:val="0"/>
            </w:rPr>
            <w:instrText xml:space="preserve"> TOC \o "1-3" \h \z \u </w:instrText>
          </w:r>
          <w:r>
            <w:rPr>
              <w:rFonts w:ascii="Times New Roman" w:hAnsi="Times New Roman" w:eastAsia="仿宋"/>
              <w:b w:val="0"/>
            </w:rPr>
            <w:fldChar w:fldCharType="separate"/>
          </w:r>
          <w:r>
            <w:fldChar w:fldCharType="begin"/>
          </w:r>
          <w:r>
            <w:instrText xml:space="preserve"> HYPERLINK \l "_Toc26761" </w:instrText>
          </w:r>
          <w:r>
            <w:fldChar w:fldCharType="separate"/>
          </w:r>
          <w:r>
            <w:rPr>
              <w:rFonts w:hint="eastAsia" w:ascii="黑体" w:hAnsi="黑体" w:eastAsia="黑体"/>
            </w:rPr>
            <w:t>一、竞赛方案</w:t>
          </w:r>
          <w:r>
            <w:rPr>
              <w:rFonts w:ascii="黑体" w:hAnsi="黑体" w:eastAsia="黑体"/>
            </w:rPr>
            <w:tab/>
          </w:r>
          <w:r>
            <w:rPr>
              <w:rFonts w:ascii="黑体" w:hAnsi="黑体" w:eastAsia="黑体"/>
            </w:rPr>
            <w:fldChar w:fldCharType="begin"/>
          </w:r>
          <w:r>
            <w:rPr>
              <w:rFonts w:ascii="黑体" w:hAnsi="黑体" w:eastAsia="黑体"/>
            </w:rPr>
            <w:instrText xml:space="preserve"> PAGEREF _Toc26761 \h </w:instrText>
          </w:r>
          <w:r>
            <w:rPr>
              <w:rFonts w:ascii="黑体" w:hAnsi="黑体" w:eastAsia="黑体"/>
            </w:rPr>
            <w:fldChar w:fldCharType="separate"/>
          </w:r>
          <w:r>
            <w:rPr>
              <w:rFonts w:ascii="黑体" w:hAnsi="黑体" w:eastAsia="黑体"/>
            </w:rPr>
            <w:t>1</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"_Toc29119" </w:instrText>
          </w:r>
          <w:r>
            <w:fldChar w:fldCharType="separate"/>
          </w:r>
          <w:r>
            <w:rPr>
              <w:rFonts w:ascii="黑体" w:hAnsi="黑体" w:eastAsia="黑体"/>
            </w:rPr>
            <w:t>1赛项描述</w:t>
          </w:r>
          <w:r>
            <w:rPr>
              <w:rFonts w:ascii="黑体" w:hAnsi="黑体" w:eastAsia="黑体"/>
            </w:rPr>
            <w:tab/>
          </w:r>
          <w:r>
            <w:rPr>
              <w:rFonts w:ascii="黑体" w:hAnsi="黑体" w:eastAsia="黑体"/>
            </w:rPr>
            <w:fldChar w:fldCharType="begin"/>
          </w:r>
          <w:r>
            <w:rPr>
              <w:rFonts w:ascii="黑体" w:hAnsi="黑体" w:eastAsia="黑体"/>
            </w:rPr>
            <w:instrText xml:space="preserve"> PAGEREF _Toc29119 \h </w:instrText>
          </w:r>
          <w:r>
            <w:rPr>
              <w:rFonts w:ascii="黑体" w:hAnsi="黑体" w:eastAsia="黑体"/>
            </w:rPr>
            <w:fldChar w:fldCharType="separate"/>
          </w:r>
          <w:r>
            <w:rPr>
              <w:rFonts w:ascii="黑体" w:hAnsi="黑体" w:eastAsia="黑体"/>
            </w:rPr>
            <w:t>1</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"_Toc4106" </w:instrText>
          </w:r>
          <w:r>
            <w:fldChar w:fldCharType="separate"/>
          </w:r>
          <w:r>
            <w:rPr>
              <w:rFonts w:ascii="黑体" w:hAnsi="黑体" w:eastAsia="黑体"/>
            </w:rPr>
            <w:t>1.1技术基本描述</w:t>
          </w:r>
          <w:r>
            <w:rPr>
              <w:rFonts w:ascii="黑体" w:hAnsi="黑体" w:eastAsia="黑体"/>
            </w:rPr>
            <w:tab/>
          </w:r>
          <w:r>
            <w:rPr>
              <w:rFonts w:ascii="黑体" w:hAnsi="黑体" w:eastAsia="黑体"/>
            </w:rPr>
            <w:fldChar w:fldCharType="begin"/>
          </w:r>
          <w:r>
            <w:rPr>
              <w:rFonts w:ascii="黑体" w:hAnsi="黑体" w:eastAsia="黑体"/>
            </w:rPr>
            <w:instrText xml:space="preserve"> PAGEREF _Toc4106 \h </w:instrText>
          </w:r>
          <w:r>
            <w:rPr>
              <w:rFonts w:ascii="黑体" w:hAnsi="黑体" w:eastAsia="黑体"/>
            </w:rPr>
            <w:fldChar w:fldCharType="separate"/>
          </w:r>
          <w:r>
            <w:rPr>
              <w:rFonts w:ascii="黑体" w:hAnsi="黑体" w:eastAsia="黑体"/>
            </w:rPr>
            <w:t>1</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"_Toc4178" </w:instrText>
          </w:r>
          <w:r>
            <w:fldChar w:fldCharType="separate"/>
          </w:r>
          <w:r>
            <w:rPr>
              <w:rFonts w:ascii="黑体" w:hAnsi="黑体" w:eastAsia="黑体"/>
            </w:rPr>
            <w:t>1.2技术能力要求</w:t>
          </w:r>
          <w:r>
            <w:rPr>
              <w:rFonts w:ascii="黑体" w:hAnsi="黑体" w:eastAsia="黑体"/>
            </w:rPr>
            <w:tab/>
          </w:r>
          <w:r>
            <w:rPr>
              <w:rFonts w:ascii="黑体" w:hAnsi="黑体" w:eastAsia="黑体"/>
            </w:rPr>
            <w:fldChar w:fldCharType="begin"/>
          </w:r>
          <w:r>
            <w:rPr>
              <w:rFonts w:ascii="黑体" w:hAnsi="黑体" w:eastAsia="黑体"/>
            </w:rPr>
            <w:instrText xml:space="preserve"> PAGEREF _Toc4178 \h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"_Toc9012" </w:instrText>
          </w:r>
          <w:r>
            <w:fldChar w:fldCharType="separate"/>
          </w:r>
          <w:r>
            <w:rPr>
              <w:rFonts w:ascii="黑体" w:hAnsi="黑体" w:eastAsia="黑体"/>
            </w:rPr>
            <w:t>1.3基本知识要求</w:t>
          </w:r>
          <w:r>
            <w:rPr>
              <w:rFonts w:ascii="黑体" w:hAnsi="黑体" w:eastAsia="黑体"/>
            </w:rPr>
            <w:tab/>
          </w:r>
          <w:r>
            <w:rPr>
              <w:rFonts w:ascii="黑体" w:hAnsi="黑体" w:eastAsia="黑体"/>
            </w:rPr>
            <w:fldChar w:fldCharType="begin"/>
          </w:r>
          <w:r>
            <w:rPr>
              <w:rFonts w:ascii="黑体" w:hAnsi="黑体" w:eastAsia="黑体"/>
            </w:rPr>
            <w:instrText xml:space="preserve"> PAGEREF _Toc9012 \h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"_Toc32720" </w:instrText>
          </w:r>
          <w:r>
            <w:fldChar w:fldCharType="separate"/>
          </w:r>
          <w:r>
            <w:rPr>
              <w:rFonts w:ascii="黑体" w:hAnsi="黑体" w:eastAsia="黑体"/>
            </w:rPr>
            <w:t>1.4职业素养与安全要求</w:t>
          </w:r>
          <w:r>
            <w:rPr>
              <w:rFonts w:ascii="黑体" w:hAnsi="黑体" w:eastAsia="黑体"/>
            </w:rPr>
            <w:tab/>
          </w:r>
          <w:r>
            <w:rPr>
              <w:rFonts w:ascii="黑体" w:hAnsi="黑体" w:eastAsia="黑体"/>
            </w:rPr>
            <w:fldChar w:fldCharType="begin"/>
          </w:r>
          <w:r>
            <w:rPr>
              <w:rFonts w:ascii="黑体" w:hAnsi="黑体" w:eastAsia="黑体"/>
            </w:rPr>
            <w:instrText xml:space="preserve"> PAGEREF _Toc32720 \h </w:instrText>
          </w:r>
          <w:r>
            <w:rPr>
              <w:rFonts w:ascii="黑体" w:hAnsi="黑体" w:eastAsia="黑体"/>
            </w:rPr>
            <w:fldChar w:fldCharType="separate"/>
          </w:r>
          <w:r>
            <w:rPr>
              <w:rFonts w:ascii="黑体" w:hAnsi="黑体" w:eastAsia="黑体"/>
            </w:rPr>
            <w:t>4</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"_Toc30945" </w:instrText>
          </w:r>
          <w:r>
            <w:fldChar w:fldCharType="separate"/>
          </w:r>
          <w:r>
            <w:rPr>
              <w:rFonts w:hint="eastAsia" w:ascii="黑体" w:hAnsi="黑体" w:eastAsia="黑体"/>
            </w:rPr>
            <w:t>1.5赛项组织形式</w:t>
          </w:r>
          <w:r>
            <w:rPr>
              <w:rFonts w:ascii="黑体" w:hAnsi="黑体" w:eastAsia="黑体"/>
            </w:rPr>
            <w:tab/>
          </w:r>
          <w:r>
            <w:rPr>
              <w:rFonts w:ascii="黑体" w:hAnsi="黑体" w:eastAsia="黑体"/>
            </w:rPr>
            <w:fldChar w:fldCharType="begin"/>
          </w:r>
          <w:r>
            <w:rPr>
              <w:rFonts w:ascii="黑体" w:hAnsi="黑体" w:eastAsia="黑体"/>
            </w:rPr>
            <w:instrText xml:space="preserve"> PAGEREF _Toc30945 \h </w:instrText>
          </w:r>
          <w:r>
            <w:rPr>
              <w:rFonts w:ascii="黑体" w:hAnsi="黑体" w:eastAsia="黑体"/>
            </w:rPr>
            <w:fldChar w:fldCharType="separate"/>
          </w:r>
          <w:r>
            <w:rPr>
              <w:rFonts w:ascii="黑体" w:hAnsi="黑体" w:eastAsia="黑体"/>
            </w:rPr>
            <w:t>4</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"_Toc13552" </w:instrText>
          </w:r>
          <w:r>
            <w:fldChar w:fldCharType="separate"/>
          </w:r>
          <w:r>
            <w:rPr>
              <w:rFonts w:ascii="黑体" w:hAnsi="黑体" w:eastAsia="黑体"/>
            </w:rPr>
            <w:t>2竞赛题目</w:t>
          </w:r>
          <w:r>
            <w:rPr>
              <w:rFonts w:ascii="黑体" w:hAnsi="黑体" w:eastAsia="黑体"/>
            </w:rPr>
            <w:tab/>
          </w:r>
          <w:r>
            <w:rPr>
              <w:rFonts w:ascii="黑体" w:hAnsi="黑体" w:eastAsia="黑体"/>
            </w:rPr>
            <w:fldChar w:fldCharType="begin"/>
          </w:r>
          <w:r>
            <w:rPr>
              <w:rFonts w:ascii="黑体" w:hAnsi="黑体" w:eastAsia="黑体"/>
            </w:rPr>
            <w:instrText xml:space="preserve"> PAGEREF _Toc13552 \h </w:instrText>
          </w:r>
          <w:r>
            <w:rPr>
              <w:rFonts w:ascii="黑体" w:hAnsi="黑体" w:eastAsia="黑体"/>
            </w:rPr>
            <w:fldChar w:fldCharType="separate"/>
          </w:r>
          <w:r>
            <w:rPr>
              <w:rFonts w:ascii="黑体" w:hAnsi="黑体" w:eastAsia="黑体"/>
            </w:rPr>
            <w:t>4</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"_Toc20266" </w:instrText>
          </w:r>
          <w:r>
            <w:fldChar w:fldCharType="separate"/>
          </w:r>
          <w:r>
            <w:rPr>
              <w:rFonts w:ascii="黑体" w:hAnsi="黑体" w:eastAsia="黑体"/>
            </w:rPr>
            <w:t>2.1竞赛形式</w:t>
          </w:r>
          <w:r>
            <w:rPr>
              <w:rFonts w:ascii="黑体" w:hAnsi="黑体" w:eastAsia="黑体"/>
            </w:rPr>
            <w:tab/>
          </w:r>
          <w:r>
            <w:rPr>
              <w:rFonts w:ascii="黑体" w:hAnsi="黑体" w:eastAsia="黑体"/>
            </w:rPr>
            <w:fldChar w:fldCharType="begin"/>
          </w:r>
          <w:r>
            <w:rPr>
              <w:rFonts w:ascii="黑体" w:hAnsi="黑体" w:eastAsia="黑体"/>
            </w:rPr>
            <w:instrText xml:space="preserve"> PAGEREF _Toc20266 \h </w:instrText>
          </w:r>
          <w:r>
            <w:rPr>
              <w:rFonts w:ascii="黑体" w:hAnsi="黑体" w:eastAsia="黑体"/>
            </w:rPr>
            <w:fldChar w:fldCharType="separate"/>
          </w:r>
          <w:r>
            <w:rPr>
              <w:rFonts w:ascii="黑体" w:hAnsi="黑体" w:eastAsia="黑体"/>
            </w:rPr>
            <w:t>4</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"_Toc2234" </w:instrText>
          </w:r>
          <w:r>
            <w:fldChar w:fldCharType="separate"/>
          </w:r>
          <w:r>
            <w:rPr>
              <w:rFonts w:hint="eastAsia" w:ascii="黑体" w:hAnsi="黑体" w:eastAsia="黑体"/>
            </w:rPr>
            <w:t>2.2竞赛分组</w:t>
          </w:r>
          <w:r>
            <w:rPr>
              <w:rFonts w:ascii="黑体" w:hAnsi="黑体" w:eastAsia="黑体"/>
            </w:rPr>
            <w:tab/>
          </w:r>
          <w:r>
            <w:rPr>
              <w:rFonts w:ascii="黑体" w:hAnsi="黑体" w:eastAsia="黑体"/>
            </w:rPr>
            <w:fldChar w:fldCharType="begin"/>
          </w:r>
          <w:r>
            <w:rPr>
              <w:rFonts w:ascii="黑体" w:hAnsi="黑体" w:eastAsia="黑体"/>
            </w:rPr>
            <w:instrText xml:space="preserve"> PAGEREF _Toc2234 \h </w:instrText>
          </w:r>
          <w:r>
            <w:rPr>
              <w:rFonts w:ascii="黑体" w:hAnsi="黑体" w:eastAsia="黑体"/>
            </w:rPr>
            <w:fldChar w:fldCharType="separate"/>
          </w:r>
          <w:r>
            <w:rPr>
              <w:rFonts w:ascii="黑体" w:hAnsi="黑体" w:eastAsia="黑体"/>
            </w:rPr>
            <w:t>5</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"_Toc10496" </w:instrText>
          </w:r>
          <w:r>
            <w:fldChar w:fldCharType="separate"/>
          </w:r>
          <w:r>
            <w:rPr>
              <w:rFonts w:ascii="黑体" w:hAnsi="黑体" w:eastAsia="黑体"/>
            </w:rPr>
            <w:t>2.</w:t>
          </w:r>
          <w:r>
            <w:rPr>
              <w:rFonts w:hint="eastAsia" w:ascii="黑体" w:hAnsi="黑体" w:eastAsia="黑体"/>
            </w:rPr>
            <w:t>3</w:t>
          </w:r>
          <w:r>
            <w:rPr>
              <w:rFonts w:ascii="黑体" w:hAnsi="黑体" w:eastAsia="黑体"/>
            </w:rPr>
            <w:t>命题标准</w:t>
          </w:r>
          <w:r>
            <w:rPr>
              <w:rFonts w:ascii="黑体" w:hAnsi="黑体" w:eastAsia="黑体"/>
            </w:rPr>
            <w:tab/>
          </w:r>
          <w:r>
            <w:rPr>
              <w:rFonts w:ascii="黑体" w:hAnsi="黑体" w:eastAsia="黑体"/>
            </w:rPr>
            <w:fldChar w:fldCharType="begin"/>
          </w:r>
          <w:r>
            <w:rPr>
              <w:rFonts w:ascii="黑体" w:hAnsi="黑体" w:eastAsia="黑体"/>
            </w:rPr>
            <w:instrText xml:space="preserve"> PAGEREF _Toc10496 \h </w:instrText>
          </w:r>
          <w:r>
            <w:rPr>
              <w:rFonts w:ascii="黑体" w:hAnsi="黑体" w:eastAsia="黑体"/>
            </w:rPr>
            <w:fldChar w:fldCharType="separate"/>
          </w:r>
          <w:r>
            <w:rPr>
              <w:rFonts w:ascii="黑体" w:hAnsi="黑体" w:eastAsia="黑体"/>
            </w:rPr>
            <w:t>5</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"_Toc28730" </w:instrText>
          </w:r>
          <w:r>
            <w:fldChar w:fldCharType="separate"/>
          </w:r>
          <w:r>
            <w:rPr>
              <w:rFonts w:ascii="黑体" w:hAnsi="黑体" w:eastAsia="黑体"/>
            </w:rPr>
            <w:t>2.</w:t>
          </w:r>
          <w:r>
            <w:rPr>
              <w:rFonts w:hint="eastAsia" w:ascii="黑体" w:hAnsi="黑体" w:eastAsia="黑体"/>
            </w:rPr>
            <w:t>4</w:t>
          </w:r>
          <w:r>
            <w:rPr>
              <w:rFonts w:ascii="黑体" w:hAnsi="黑体" w:eastAsia="黑体"/>
            </w:rPr>
            <w:t>命题内容</w:t>
          </w:r>
          <w:r>
            <w:rPr>
              <w:rFonts w:ascii="黑体" w:hAnsi="黑体" w:eastAsia="黑体"/>
            </w:rPr>
            <w:tab/>
          </w:r>
          <w:r>
            <w:rPr>
              <w:rFonts w:ascii="黑体" w:hAnsi="黑体" w:eastAsia="黑体"/>
            </w:rPr>
            <w:fldChar w:fldCharType="begin"/>
          </w:r>
          <w:r>
            <w:rPr>
              <w:rFonts w:ascii="黑体" w:hAnsi="黑体" w:eastAsia="黑体"/>
            </w:rPr>
            <w:instrText xml:space="preserve"> PAGEREF _Toc28730 \h </w:instrText>
          </w:r>
          <w:r>
            <w:rPr>
              <w:rFonts w:ascii="黑体" w:hAnsi="黑体" w:eastAsia="黑体"/>
            </w:rPr>
            <w:fldChar w:fldCharType="separate"/>
          </w:r>
          <w:r>
            <w:rPr>
              <w:rFonts w:ascii="黑体" w:hAnsi="黑体" w:eastAsia="黑体"/>
            </w:rPr>
            <w:t>6</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"_Toc13722" </w:instrText>
          </w:r>
          <w:r>
            <w:fldChar w:fldCharType="separate"/>
          </w:r>
          <w:r>
            <w:rPr>
              <w:rFonts w:ascii="黑体" w:hAnsi="黑体" w:eastAsia="黑体"/>
            </w:rPr>
            <w:t>2.</w:t>
          </w:r>
          <w:r>
            <w:rPr>
              <w:rFonts w:hint="eastAsia" w:ascii="黑体" w:hAnsi="黑体" w:eastAsia="黑体"/>
            </w:rPr>
            <w:t>5</w:t>
          </w:r>
          <w:r>
            <w:rPr>
              <w:rFonts w:ascii="黑体" w:hAnsi="黑体" w:eastAsia="黑体"/>
            </w:rPr>
            <w:t>竞赛时间</w:t>
          </w:r>
          <w:r>
            <w:rPr>
              <w:rFonts w:ascii="黑体" w:hAnsi="黑体" w:eastAsia="黑体"/>
            </w:rPr>
            <w:tab/>
          </w:r>
          <w:r>
            <w:rPr>
              <w:rFonts w:ascii="黑体" w:hAnsi="黑体" w:eastAsia="黑体"/>
            </w:rPr>
            <w:fldChar w:fldCharType="begin"/>
          </w:r>
          <w:r>
            <w:rPr>
              <w:rFonts w:ascii="黑体" w:hAnsi="黑体" w:eastAsia="黑体"/>
            </w:rPr>
            <w:instrText xml:space="preserve"> PAGEREF _Toc13722 \h </w:instrText>
          </w:r>
          <w:r>
            <w:rPr>
              <w:rFonts w:ascii="黑体" w:hAnsi="黑体" w:eastAsia="黑体"/>
            </w:rPr>
            <w:fldChar w:fldCharType="separate"/>
          </w:r>
          <w:r>
            <w:rPr>
              <w:rFonts w:ascii="黑体" w:hAnsi="黑体" w:eastAsia="黑体"/>
            </w:rPr>
            <w:t>7</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"_Toc6846" </w:instrText>
          </w:r>
          <w:r>
            <w:fldChar w:fldCharType="separate"/>
          </w:r>
          <w:r>
            <w:rPr>
              <w:rFonts w:hint="eastAsia" w:ascii="黑体" w:hAnsi="黑体" w:eastAsia="黑体"/>
            </w:rPr>
            <w:t>2.6竞赛要求</w:t>
          </w:r>
          <w:r>
            <w:rPr>
              <w:rFonts w:ascii="黑体" w:hAnsi="黑体" w:eastAsia="黑体"/>
            </w:rPr>
            <w:tab/>
          </w:r>
          <w:r>
            <w:rPr>
              <w:rFonts w:ascii="黑体" w:hAnsi="黑体" w:eastAsia="黑体"/>
            </w:rPr>
            <w:fldChar w:fldCharType="begin"/>
          </w:r>
          <w:r>
            <w:rPr>
              <w:rFonts w:ascii="黑体" w:hAnsi="黑体" w:eastAsia="黑体"/>
            </w:rPr>
            <w:instrText xml:space="preserve"> PAGEREF _Toc6846 \h </w:instrText>
          </w:r>
          <w:r>
            <w:rPr>
              <w:rFonts w:ascii="黑体" w:hAnsi="黑体" w:eastAsia="黑体"/>
            </w:rPr>
            <w:fldChar w:fldCharType="separate"/>
          </w:r>
          <w:r>
            <w:rPr>
              <w:rFonts w:ascii="黑体" w:hAnsi="黑体" w:eastAsia="黑体"/>
            </w:rPr>
            <w:t>7</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"_Toc30775" </w:instrText>
          </w:r>
          <w:r>
            <w:fldChar w:fldCharType="separate"/>
          </w:r>
          <w:r>
            <w:rPr>
              <w:rFonts w:ascii="黑体" w:hAnsi="黑体" w:eastAsia="黑体"/>
            </w:rPr>
            <w:t>3命题方式</w:t>
          </w:r>
          <w:r>
            <w:rPr>
              <w:rFonts w:ascii="黑体" w:hAnsi="黑体" w:eastAsia="黑体"/>
            </w:rPr>
            <w:tab/>
          </w:r>
          <w:r>
            <w:rPr>
              <w:rFonts w:ascii="黑体" w:hAnsi="黑体" w:eastAsia="黑体"/>
            </w:rPr>
            <w:fldChar w:fldCharType="begin"/>
          </w:r>
          <w:r>
            <w:rPr>
              <w:rFonts w:ascii="黑体" w:hAnsi="黑体" w:eastAsia="黑体"/>
            </w:rPr>
            <w:instrText xml:space="preserve"> PAGEREF _Toc30775 \h </w:instrText>
          </w:r>
          <w:r>
            <w:rPr>
              <w:rFonts w:ascii="黑体" w:hAnsi="黑体" w:eastAsia="黑体"/>
            </w:rPr>
            <w:fldChar w:fldCharType="separate"/>
          </w:r>
          <w:r>
            <w:rPr>
              <w:rFonts w:ascii="黑体" w:hAnsi="黑体" w:eastAsia="黑体"/>
            </w:rPr>
            <w:t>7</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"_Toc29450" </w:instrText>
          </w:r>
          <w:r>
            <w:fldChar w:fldCharType="separate"/>
          </w:r>
          <w:r>
            <w:rPr>
              <w:rFonts w:ascii="黑体" w:hAnsi="黑体" w:eastAsia="黑体"/>
            </w:rPr>
            <w:t>3.1命题流程</w:t>
          </w:r>
          <w:r>
            <w:rPr>
              <w:rFonts w:ascii="黑体" w:hAnsi="黑体" w:eastAsia="黑体"/>
            </w:rPr>
            <w:tab/>
          </w:r>
          <w:r>
            <w:rPr>
              <w:rFonts w:ascii="黑体" w:hAnsi="黑体" w:eastAsia="黑体"/>
            </w:rPr>
            <w:fldChar w:fldCharType="begin"/>
          </w:r>
          <w:r>
            <w:rPr>
              <w:rFonts w:ascii="黑体" w:hAnsi="黑体" w:eastAsia="黑体"/>
            </w:rPr>
            <w:instrText xml:space="preserve"> PAGEREF _Toc29450 \h </w:instrText>
          </w:r>
          <w:r>
            <w:rPr>
              <w:rFonts w:ascii="黑体" w:hAnsi="黑体" w:eastAsia="黑体"/>
            </w:rPr>
            <w:fldChar w:fldCharType="separate"/>
          </w:r>
          <w:r>
            <w:rPr>
              <w:rFonts w:ascii="黑体" w:hAnsi="黑体" w:eastAsia="黑体"/>
            </w:rPr>
            <w:t>7</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"_Toc23301" </w:instrText>
          </w:r>
          <w:r>
            <w:fldChar w:fldCharType="separate"/>
          </w:r>
          <w:r>
            <w:rPr>
              <w:rFonts w:ascii="黑体" w:hAnsi="黑体" w:eastAsia="黑体"/>
            </w:rPr>
            <w:t>3.2最终赛题产生的方式</w:t>
          </w:r>
          <w:r>
            <w:rPr>
              <w:rFonts w:ascii="黑体" w:hAnsi="黑体" w:eastAsia="黑体"/>
            </w:rPr>
            <w:tab/>
          </w:r>
          <w:r>
            <w:rPr>
              <w:rFonts w:ascii="黑体" w:hAnsi="黑体" w:eastAsia="黑体"/>
            </w:rPr>
            <w:fldChar w:fldCharType="begin"/>
          </w:r>
          <w:r>
            <w:rPr>
              <w:rFonts w:ascii="黑体" w:hAnsi="黑体" w:eastAsia="黑体"/>
            </w:rPr>
            <w:instrText xml:space="preserve"> PAGEREF _Toc23301 \h </w:instrText>
          </w:r>
          <w:r>
            <w:rPr>
              <w:rFonts w:ascii="黑体" w:hAnsi="黑体" w:eastAsia="黑体"/>
            </w:rPr>
            <w:fldChar w:fldCharType="separate"/>
          </w:r>
          <w:r>
            <w:rPr>
              <w:rFonts w:ascii="黑体" w:hAnsi="黑体" w:eastAsia="黑体"/>
            </w:rPr>
            <w:t>8</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"_Toc9002" </w:instrText>
          </w:r>
          <w:r>
            <w:fldChar w:fldCharType="separate"/>
          </w:r>
          <w:r>
            <w:rPr>
              <w:rFonts w:ascii="黑体" w:hAnsi="黑体" w:eastAsia="黑体"/>
            </w:rPr>
            <w:t>4评判方式</w:t>
          </w:r>
          <w:r>
            <w:rPr>
              <w:rFonts w:ascii="黑体" w:hAnsi="黑体" w:eastAsia="黑体"/>
            </w:rPr>
            <w:tab/>
          </w:r>
          <w:r>
            <w:rPr>
              <w:rFonts w:ascii="黑体" w:hAnsi="黑体" w:eastAsia="黑体"/>
            </w:rPr>
            <w:fldChar w:fldCharType="begin"/>
          </w:r>
          <w:r>
            <w:rPr>
              <w:rFonts w:ascii="黑体" w:hAnsi="黑体" w:eastAsia="黑体"/>
            </w:rPr>
            <w:instrText xml:space="preserve"> PAGEREF _Toc9002 \h </w:instrText>
          </w:r>
          <w:r>
            <w:rPr>
              <w:rFonts w:ascii="黑体" w:hAnsi="黑体" w:eastAsia="黑体"/>
            </w:rPr>
            <w:fldChar w:fldCharType="separate"/>
          </w:r>
          <w:r>
            <w:rPr>
              <w:rFonts w:ascii="黑体" w:hAnsi="黑体" w:eastAsia="黑体"/>
            </w:rPr>
            <w:t>8</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"_Toc28204" </w:instrText>
          </w:r>
          <w:r>
            <w:fldChar w:fldCharType="separate"/>
          </w:r>
          <w:r>
            <w:rPr>
              <w:rFonts w:ascii="黑体" w:hAnsi="黑体" w:eastAsia="黑体"/>
            </w:rPr>
            <w:t>4.1评判流程</w:t>
          </w:r>
          <w:r>
            <w:rPr>
              <w:rFonts w:ascii="黑体" w:hAnsi="黑体" w:eastAsia="黑体"/>
            </w:rPr>
            <w:tab/>
          </w:r>
          <w:r>
            <w:rPr>
              <w:rFonts w:ascii="黑体" w:hAnsi="黑体" w:eastAsia="黑体"/>
            </w:rPr>
            <w:fldChar w:fldCharType="begin"/>
          </w:r>
          <w:r>
            <w:rPr>
              <w:rFonts w:ascii="黑体" w:hAnsi="黑体" w:eastAsia="黑体"/>
            </w:rPr>
            <w:instrText xml:space="preserve"> PAGEREF _Toc28204 \h </w:instrText>
          </w:r>
          <w:r>
            <w:rPr>
              <w:rFonts w:ascii="黑体" w:hAnsi="黑体" w:eastAsia="黑体"/>
            </w:rPr>
            <w:fldChar w:fldCharType="separate"/>
          </w:r>
          <w:r>
            <w:rPr>
              <w:rFonts w:ascii="黑体" w:hAnsi="黑体" w:eastAsia="黑体"/>
            </w:rPr>
            <w:t>8</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"_Toc30660" </w:instrText>
          </w:r>
          <w:r>
            <w:fldChar w:fldCharType="separate"/>
          </w:r>
          <w:r>
            <w:rPr>
              <w:rFonts w:ascii="黑体" w:hAnsi="黑体" w:eastAsia="黑体"/>
            </w:rPr>
            <w:t>4.2评判方法</w:t>
          </w:r>
          <w:r>
            <w:rPr>
              <w:rFonts w:ascii="黑体" w:hAnsi="黑体" w:eastAsia="黑体"/>
            </w:rPr>
            <w:tab/>
          </w:r>
          <w:r>
            <w:rPr>
              <w:rFonts w:ascii="黑体" w:hAnsi="黑体" w:eastAsia="黑体"/>
            </w:rPr>
            <w:fldChar w:fldCharType="begin"/>
          </w:r>
          <w:r>
            <w:rPr>
              <w:rFonts w:ascii="黑体" w:hAnsi="黑体" w:eastAsia="黑体"/>
            </w:rPr>
            <w:instrText xml:space="preserve"> PAGEREF _Toc30660 \h </w:instrText>
          </w:r>
          <w:r>
            <w:rPr>
              <w:rFonts w:ascii="黑体" w:hAnsi="黑体" w:eastAsia="黑体"/>
            </w:rPr>
            <w:fldChar w:fldCharType="separate"/>
          </w:r>
          <w:r>
            <w:rPr>
              <w:rFonts w:ascii="黑体" w:hAnsi="黑体" w:eastAsia="黑体"/>
            </w:rPr>
            <w:t>9</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"_Toc23632" </w:instrText>
          </w:r>
          <w:r>
            <w:fldChar w:fldCharType="separate"/>
          </w:r>
          <w:r>
            <w:rPr>
              <w:rFonts w:hint="eastAsia" w:ascii="黑体" w:hAnsi="黑体" w:eastAsia="黑体"/>
            </w:rPr>
            <w:t>4.3评判的硬件设备要求</w:t>
          </w:r>
          <w:r>
            <w:rPr>
              <w:rFonts w:ascii="黑体" w:hAnsi="黑体" w:eastAsia="黑体"/>
            </w:rPr>
            <w:tab/>
          </w:r>
          <w:r>
            <w:rPr>
              <w:rFonts w:ascii="黑体" w:hAnsi="黑体" w:eastAsia="黑体"/>
            </w:rPr>
            <w:fldChar w:fldCharType="begin"/>
          </w:r>
          <w:r>
            <w:rPr>
              <w:rFonts w:ascii="黑体" w:hAnsi="黑体" w:eastAsia="黑体"/>
            </w:rPr>
            <w:instrText xml:space="preserve"> PAGEREF _Toc23632 \h </w:instrText>
          </w:r>
          <w:r>
            <w:rPr>
              <w:rFonts w:ascii="黑体" w:hAnsi="黑体" w:eastAsia="黑体"/>
            </w:rPr>
            <w:fldChar w:fldCharType="separate"/>
          </w:r>
          <w:r>
            <w:rPr>
              <w:rFonts w:ascii="黑体" w:hAnsi="黑体" w:eastAsia="黑体"/>
            </w:rPr>
            <w:t>9</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"_Toc10016" </w:instrText>
          </w:r>
          <w:r>
            <w:fldChar w:fldCharType="separate"/>
          </w:r>
          <w:r>
            <w:rPr>
              <w:rFonts w:ascii="黑体" w:hAnsi="黑体" w:eastAsia="黑体"/>
            </w:rPr>
            <w:t>4.4成绩复核</w:t>
          </w:r>
          <w:r>
            <w:rPr>
              <w:rFonts w:ascii="黑体" w:hAnsi="黑体" w:eastAsia="黑体"/>
            </w:rPr>
            <w:tab/>
          </w:r>
          <w:r>
            <w:rPr>
              <w:rFonts w:ascii="黑体" w:hAnsi="黑体" w:eastAsia="黑体"/>
            </w:rPr>
            <w:fldChar w:fldCharType="begin"/>
          </w:r>
          <w:r>
            <w:rPr>
              <w:rFonts w:ascii="黑体" w:hAnsi="黑体" w:eastAsia="黑体"/>
            </w:rPr>
            <w:instrText xml:space="preserve"> PAGEREF _Toc10016 \h </w:instrText>
          </w:r>
          <w:r>
            <w:rPr>
              <w:rFonts w:ascii="黑体" w:hAnsi="黑体" w:eastAsia="黑体"/>
            </w:rPr>
            <w:fldChar w:fldCharType="separate"/>
          </w:r>
          <w:r>
            <w:rPr>
              <w:rFonts w:ascii="黑体" w:hAnsi="黑体" w:eastAsia="黑体"/>
            </w:rPr>
            <w:t>9</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"_Toc10248" </w:instrText>
          </w:r>
          <w:r>
            <w:fldChar w:fldCharType="separate"/>
          </w:r>
          <w:r>
            <w:rPr>
              <w:rFonts w:ascii="黑体" w:hAnsi="黑体" w:eastAsia="黑体"/>
            </w:rPr>
            <w:t>4.5最终成绩</w:t>
          </w:r>
          <w:r>
            <w:rPr>
              <w:rFonts w:ascii="黑体" w:hAnsi="黑体" w:eastAsia="黑体"/>
            </w:rPr>
            <w:tab/>
          </w:r>
          <w:r>
            <w:rPr>
              <w:rFonts w:ascii="黑体" w:hAnsi="黑体" w:eastAsia="黑体"/>
            </w:rPr>
            <w:fldChar w:fldCharType="begin"/>
          </w:r>
          <w:r>
            <w:rPr>
              <w:rFonts w:ascii="黑体" w:hAnsi="黑体" w:eastAsia="黑体"/>
            </w:rPr>
            <w:instrText xml:space="preserve"> PAGEREF _Toc10248 \h </w:instrText>
          </w:r>
          <w:r>
            <w:rPr>
              <w:rFonts w:ascii="黑体" w:hAnsi="黑体" w:eastAsia="黑体"/>
            </w:rPr>
            <w:fldChar w:fldCharType="separate"/>
          </w:r>
          <w:r>
            <w:rPr>
              <w:rFonts w:ascii="黑体" w:hAnsi="黑体" w:eastAsia="黑体"/>
            </w:rPr>
            <w:t>10</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"_Toc24889" </w:instrText>
          </w:r>
          <w:r>
            <w:fldChar w:fldCharType="separate"/>
          </w:r>
          <w:r>
            <w:rPr>
              <w:rFonts w:ascii="黑体" w:hAnsi="黑体" w:eastAsia="黑体"/>
            </w:rPr>
            <w:t>4.6成绩排序和奖项设定</w:t>
          </w:r>
          <w:r>
            <w:rPr>
              <w:rFonts w:ascii="黑体" w:hAnsi="黑体" w:eastAsia="黑体"/>
            </w:rPr>
            <w:tab/>
          </w:r>
          <w:r>
            <w:rPr>
              <w:rFonts w:ascii="黑体" w:hAnsi="黑体" w:eastAsia="黑体"/>
            </w:rPr>
            <w:fldChar w:fldCharType="begin"/>
          </w:r>
          <w:r>
            <w:rPr>
              <w:rFonts w:ascii="黑体" w:hAnsi="黑体" w:eastAsia="黑体"/>
            </w:rPr>
            <w:instrText xml:space="preserve"> PAGEREF _Toc24889 \h </w:instrText>
          </w:r>
          <w:r>
            <w:rPr>
              <w:rFonts w:ascii="黑体" w:hAnsi="黑体" w:eastAsia="黑体"/>
            </w:rPr>
            <w:fldChar w:fldCharType="separate"/>
          </w:r>
          <w:r>
            <w:rPr>
              <w:rFonts w:ascii="黑体" w:hAnsi="黑体" w:eastAsia="黑体"/>
            </w:rPr>
            <w:t>10</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"_Toc8728" </w:instrText>
          </w:r>
          <w:r>
            <w:fldChar w:fldCharType="separate"/>
          </w:r>
          <w:r>
            <w:rPr>
              <w:rFonts w:hint="eastAsia" w:ascii="黑体" w:hAnsi="黑体" w:eastAsia="黑体"/>
            </w:rPr>
            <w:t>5大赛竞赛流程</w:t>
          </w:r>
          <w:r>
            <w:rPr>
              <w:rFonts w:ascii="黑体" w:hAnsi="黑体" w:eastAsia="黑体"/>
            </w:rPr>
            <w:tab/>
          </w:r>
          <w:r>
            <w:rPr>
              <w:rFonts w:ascii="黑体" w:hAnsi="黑体" w:eastAsia="黑体"/>
            </w:rPr>
            <w:fldChar w:fldCharType="begin"/>
          </w:r>
          <w:r>
            <w:rPr>
              <w:rFonts w:ascii="黑体" w:hAnsi="黑体" w:eastAsia="黑体"/>
            </w:rPr>
            <w:instrText xml:space="preserve"> PAGEREF _Toc8728 \h </w:instrText>
          </w:r>
          <w:r>
            <w:rPr>
              <w:rFonts w:ascii="黑体" w:hAnsi="黑体" w:eastAsia="黑体"/>
            </w:rPr>
            <w:fldChar w:fldCharType="separate"/>
          </w:r>
          <w:r>
            <w:rPr>
              <w:rFonts w:ascii="黑体" w:hAnsi="黑体" w:eastAsia="黑体"/>
            </w:rPr>
            <w:t>11</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"_Toc31128" </w:instrText>
          </w:r>
          <w:r>
            <w:fldChar w:fldCharType="separate"/>
          </w:r>
          <w:r>
            <w:rPr>
              <w:rFonts w:hint="eastAsia" w:ascii="黑体" w:hAnsi="黑体" w:eastAsia="黑体"/>
            </w:rPr>
            <w:t>5.1场次安排</w:t>
          </w:r>
          <w:r>
            <w:rPr>
              <w:rFonts w:ascii="黑体" w:hAnsi="黑体" w:eastAsia="黑体"/>
            </w:rPr>
            <w:tab/>
          </w:r>
          <w:r>
            <w:rPr>
              <w:rFonts w:ascii="黑体" w:hAnsi="黑体" w:eastAsia="黑体"/>
            </w:rPr>
            <w:fldChar w:fldCharType="begin"/>
          </w:r>
          <w:r>
            <w:rPr>
              <w:rFonts w:ascii="黑体" w:hAnsi="黑体" w:eastAsia="黑体"/>
            </w:rPr>
            <w:instrText xml:space="preserve"> PAGEREF _Toc31128 \h </w:instrText>
          </w:r>
          <w:r>
            <w:rPr>
              <w:rFonts w:ascii="黑体" w:hAnsi="黑体" w:eastAsia="黑体"/>
            </w:rPr>
            <w:fldChar w:fldCharType="separate"/>
          </w:r>
          <w:r>
            <w:rPr>
              <w:rFonts w:ascii="黑体" w:hAnsi="黑体" w:eastAsia="黑体"/>
            </w:rPr>
            <w:t>11</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"_Toc18032" </w:instrText>
          </w:r>
          <w:r>
            <w:fldChar w:fldCharType="separate"/>
          </w:r>
          <w:r>
            <w:rPr>
              <w:rFonts w:hint="eastAsia" w:ascii="黑体" w:hAnsi="黑体" w:eastAsia="黑体"/>
            </w:rPr>
            <w:t>5.2场次和工位抽签</w:t>
          </w:r>
          <w:r>
            <w:rPr>
              <w:rFonts w:ascii="黑体" w:hAnsi="黑体" w:eastAsia="黑体"/>
            </w:rPr>
            <w:tab/>
          </w:r>
          <w:r>
            <w:rPr>
              <w:rFonts w:ascii="黑体" w:hAnsi="黑体" w:eastAsia="黑体"/>
            </w:rPr>
            <w:fldChar w:fldCharType="begin"/>
          </w:r>
          <w:r>
            <w:rPr>
              <w:rFonts w:ascii="黑体" w:hAnsi="黑体" w:eastAsia="黑体"/>
            </w:rPr>
            <w:instrText xml:space="preserve"> PAGEREF _Toc18032 \h </w:instrText>
          </w:r>
          <w:r>
            <w:rPr>
              <w:rFonts w:ascii="黑体" w:hAnsi="黑体" w:eastAsia="黑体"/>
            </w:rPr>
            <w:fldChar w:fldCharType="separate"/>
          </w:r>
          <w:r>
            <w:rPr>
              <w:rFonts w:ascii="黑体" w:hAnsi="黑体" w:eastAsia="黑体"/>
            </w:rPr>
            <w:t>11</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"_Toc16587" </w:instrText>
          </w:r>
          <w:r>
            <w:fldChar w:fldCharType="separate"/>
          </w:r>
          <w:r>
            <w:rPr>
              <w:rFonts w:hint="eastAsia" w:ascii="黑体" w:hAnsi="黑体" w:eastAsia="黑体"/>
            </w:rPr>
            <w:t>5.3日程安排</w:t>
          </w:r>
          <w:r>
            <w:rPr>
              <w:rFonts w:ascii="黑体" w:hAnsi="黑体" w:eastAsia="黑体"/>
            </w:rPr>
            <w:tab/>
          </w:r>
          <w:r>
            <w:rPr>
              <w:rFonts w:ascii="黑体" w:hAnsi="黑体" w:eastAsia="黑体"/>
            </w:rPr>
            <w:fldChar w:fldCharType="begin"/>
          </w:r>
          <w:r>
            <w:rPr>
              <w:rFonts w:ascii="黑体" w:hAnsi="黑体" w:eastAsia="黑体"/>
            </w:rPr>
            <w:instrText xml:space="preserve"> PAGEREF _Toc16587 \h </w:instrText>
          </w:r>
          <w:r>
            <w:rPr>
              <w:rFonts w:ascii="黑体" w:hAnsi="黑体" w:eastAsia="黑体"/>
            </w:rPr>
            <w:fldChar w:fldCharType="separate"/>
          </w:r>
          <w:r>
            <w:rPr>
              <w:rFonts w:ascii="黑体" w:hAnsi="黑体" w:eastAsia="黑体"/>
            </w:rPr>
            <w:t>11</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"_Toc24133" </w:instrText>
          </w:r>
          <w:r>
            <w:fldChar w:fldCharType="separate"/>
          </w:r>
          <w:r>
            <w:rPr>
              <w:rFonts w:hint="eastAsia" w:ascii="黑体" w:hAnsi="黑体" w:eastAsia="黑体"/>
            </w:rPr>
            <w:t>6申诉与仲裁</w:t>
          </w:r>
          <w:r>
            <w:rPr>
              <w:rFonts w:ascii="黑体" w:hAnsi="黑体" w:eastAsia="黑体"/>
            </w:rPr>
            <w:tab/>
          </w:r>
          <w:r>
            <w:rPr>
              <w:rFonts w:ascii="黑体" w:hAnsi="黑体" w:eastAsia="黑体"/>
            </w:rPr>
            <w:fldChar w:fldCharType="begin"/>
          </w:r>
          <w:r>
            <w:rPr>
              <w:rFonts w:ascii="黑体" w:hAnsi="黑体" w:eastAsia="黑体"/>
            </w:rPr>
            <w:instrText xml:space="preserve"> PAGEREF _Toc24133 \h </w:instrText>
          </w:r>
          <w:r>
            <w:rPr>
              <w:rFonts w:ascii="黑体" w:hAnsi="黑体" w:eastAsia="黑体"/>
            </w:rPr>
            <w:fldChar w:fldCharType="separate"/>
          </w:r>
          <w:r>
            <w:rPr>
              <w:rFonts w:ascii="黑体" w:hAnsi="黑体" w:eastAsia="黑体"/>
            </w:rPr>
            <w:t>11</w:t>
          </w:r>
          <w:r>
            <w:rPr>
              <w:rFonts w:ascii="黑体" w:hAnsi="黑体" w:eastAsia="黑体"/>
            </w:rPr>
            <w:fldChar w:fldCharType="end"/>
          </w:r>
          <w:r>
            <w:rPr>
              <w:rFonts w:ascii="黑体" w:hAnsi="黑体" w:eastAsia="黑体"/>
            </w:rPr>
            <w:fldChar w:fldCharType="end"/>
          </w:r>
        </w:p>
        <w:p>
          <w:pPr>
            <w:pStyle w:val="11"/>
            <w:tabs>
              <w:tab w:val="right" w:leader="dot" w:pos="9071"/>
            </w:tabs>
            <w:ind w:firstLine="562"/>
            <w:rPr>
              <w:rFonts w:ascii="黑体" w:hAnsi="黑体" w:eastAsia="黑体"/>
            </w:rPr>
          </w:pPr>
          <w:r>
            <w:fldChar w:fldCharType="begin"/>
          </w:r>
          <w:r>
            <w:instrText xml:space="preserve"> HYPERLINK \l "_Toc4776" </w:instrText>
          </w:r>
          <w:r>
            <w:fldChar w:fldCharType="separate"/>
          </w:r>
          <w:r>
            <w:rPr>
              <w:rFonts w:hint="eastAsia" w:ascii="黑体" w:hAnsi="黑体" w:eastAsia="黑体"/>
            </w:rPr>
            <w:t>二、竞赛基础要求</w:t>
          </w:r>
          <w:r>
            <w:rPr>
              <w:rFonts w:ascii="黑体" w:hAnsi="黑体" w:eastAsia="黑体"/>
            </w:rPr>
            <w:tab/>
          </w:r>
          <w:r>
            <w:rPr>
              <w:rFonts w:ascii="黑体" w:hAnsi="黑体" w:eastAsia="黑体"/>
            </w:rPr>
            <w:fldChar w:fldCharType="begin"/>
          </w:r>
          <w:r>
            <w:rPr>
              <w:rFonts w:ascii="黑体" w:hAnsi="黑体" w:eastAsia="黑体"/>
            </w:rPr>
            <w:instrText xml:space="preserve"> PAGEREF _Toc4776 \h </w:instrText>
          </w:r>
          <w:r>
            <w:rPr>
              <w:rFonts w:ascii="黑体" w:hAnsi="黑体" w:eastAsia="黑体"/>
            </w:rPr>
            <w:fldChar w:fldCharType="separate"/>
          </w:r>
          <w:r>
            <w:rPr>
              <w:rFonts w:ascii="黑体" w:hAnsi="黑体" w:eastAsia="黑体"/>
            </w:rPr>
            <w:t>12</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"_Toc30647" </w:instrText>
          </w:r>
          <w:r>
            <w:fldChar w:fldCharType="separate"/>
          </w:r>
          <w:r>
            <w:rPr>
              <w:rFonts w:ascii="黑体" w:hAnsi="黑体" w:eastAsia="黑体"/>
            </w:rPr>
            <w:t>7大赛基础设施</w:t>
          </w:r>
          <w:r>
            <w:rPr>
              <w:rFonts w:ascii="黑体" w:hAnsi="黑体" w:eastAsia="黑体"/>
            </w:rPr>
            <w:tab/>
          </w:r>
          <w:r>
            <w:rPr>
              <w:rFonts w:ascii="黑体" w:hAnsi="黑体" w:eastAsia="黑体"/>
            </w:rPr>
            <w:fldChar w:fldCharType="begin"/>
          </w:r>
          <w:r>
            <w:rPr>
              <w:rFonts w:ascii="黑体" w:hAnsi="黑体" w:eastAsia="黑体"/>
            </w:rPr>
            <w:instrText xml:space="preserve"> PAGEREF _Toc30647 \h </w:instrText>
          </w:r>
          <w:r>
            <w:rPr>
              <w:rFonts w:ascii="黑体" w:hAnsi="黑体" w:eastAsia="黑体"/>
            </w:rPr>
            <w:fldChar w:fldCharType="separate"/>
          </w:r>
          <w:r>
            <w:rPr>
              <w:rFonts w:ascii="黑体" w:hAnsi="黑体" w:eastAsia="黑体"/>
            </w:rPr>
            <w:t>12</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"_Toc2001" </w:instrText>
          </w:r>
          <w:r>
            <w:fldChar w:fldCharType="separate"/>
          </w:r>
          <w:r>
            <w:rPr>
              <w:rFonts w:ascii="黑体" w:hAnsi="黑体" w:eastAsia="黑体"/>
            </w:rPr>
            <w:t>7.1竞赛平台条件</w:t>
          </w:r>
          <w:r>
            <w:rPr>
              <w:rFonts w:ascii="黑体" w:hAnsi="黑体" w:eastAsia="黑体"/>
            </w:rPr>
            <w:tab/>
          </w:r>
          <w:r>
            <w:rPr>
              <w:rFonts w:ascii="黑体" w:hAnsi="黑体" w:eastAsia="黑体"/>
            </w:rPr>
            <w:fldChar w:fldCharType="begin"/>
          </w:r>
          <w:r>
            <w:rPr>
              <w:rFonts w:ascii="黑体" w:hAnsi="黑体" w:eastAsia="黑体"/>
            </w:rPr>
            <w:instrText xml:space="preserve"> PAGEREF _Toc2001 \h </w:instrText>
          </w:r>
          <w:r>
            <w:rPr>
              <w:rFonts w:ascii="黑体" w:hAnsi="黑体" w:eastAsia="黑体"/>
            </w:rPr>
            <w:fldChar w:fldCharType="separate"/>
          </w:r>
          <w:r>
            <w:rPr>
              <w:rFonts w:ascii="黑体" w:hAnsi="黑体" w:eastAsia="黑体"/>
            </w:rPr>
            <w:t>12</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"_Toc2018" </w:instrText>
          </w:r>
          <w:r>
            <w:fldChar w:fldCharType="separate"/>
          </w:r>
          <w:r>
            <w:rPr>
              <w:rFonts w:hint="eastAsia" w:ascii="黑体" w:hAnsi="黑体" w:eastAsia="黑体"/>
            </w:rPr>
            <w:t>7.2赛场设备主要配置清单</w:t>
          </w:r>
          <w:r>
            <w:rPr>
              <w:rFonts w:ascii="黑体" w:hAnsi="黑体" w:eastAsia="黑体"/>
            </w:rPr>
            <w:tab/>
          </w:r>
          <w:r>
            <w:rPr>
              <w:rFonts w:ascii="黑体" w:hAnsi="黑体" w:eastAsia="黑体"/>
            </w:rPr>
            <w:fldChar w:fldCharType="begin"/>
          </w:r>
          <w:r>
            <w:rPr>
              <w:rFonts w:ascii="黑体" w:hAnsi="黑体" w:eastAsia="黑体"/>
            </w:rPr>
            <w:instrText xml:space="preserve"> PAGEREF _Toc2018 \h </w:instrText>
          </w:r>
          <w:r>
            <w:rPr>
              <w:rFonts w:ascii="黑体" w:hAnsi="黑体" w:eastAsia="黑体"/>
            </w:rPr>
            <w:fldChar w:fldCharType="separate"/>
          </w:r>
          <w:r>
            <w:rPr>
              <w:rFonts w:ascii="黑体" w:hAnsi="黑体" w:eastAsia="黑体"/>
            </w:rPr>
            <w:t>13</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"_Toc27652" </w:instrText>
          </w:r>
          <w:r>
            <w:fldChar w:fldCharType="separate"/>
          </w:r>
          <w:r>
            <w:rPr>
              <w:rFonts w:ascii="黑体" w:hAnsi="黑体" w:eastAsia="黑体"/>
            </w:rPr>
            <w:t>7.3</w:t>
          </w:r>
          <w:r>
            <w:rPr>
              <w:rFonts w:hint="eastAsia" w:ascii="黑体" w:hAnsi="黑体" w:eastAsia="黑体"/>
            </w:rPr>
            <w:t>赛场配套</w:t>
          </w:r>
          <w:r>
            <w:rPr>
              <w:rFonts w:ascii="黑体" w:hAnsi="黑体" w:eastAsia="黑体"/>
            </w:rPr>
            <w:t>的仪器和工具</w:t>
          </w:r>
          <w:r>
            <w:rPr>
              <w:rFonts w:ascii="黑体" w:hAnsi="黑体" w:eastAsia="黑体"/>
            </w:rPr>
            <w:tab/>
          </w:r>
          <w:r>
            <w:rPr>
              <w:rFonts w:ascii="黑体" w:hAnsi="黑体" w:eastAsia="黑体"/>
            </w:rPr>
            <w:fldChar w:fldCharType="begin"/>
          </w:r>
          <w:r>
            <w:rPr>
              <w:rFonts w:ascii="黑体" w:hAnsi="黑体" w:eastAsia="黑体"/>
            </w:rPr>
            <w:instrText xml:space="preserve"> PAGEREF _Toc27652 \h </w:instrText>
          </w:r>
          <w:r>
            <w:rPr>
              <w:rFonts w:ascii="黑体" w:hAnsi="黑体" w:eastAsia="黑体"/>
            </w:rPr>
            <w:fldChar w:fldCharType="separate"/>
          </w:r>
          <w:r>
            <w:rPr>
              <w:rFonts w:ascii="黑体" w:hAnsi="黑体" w:eastAsia="黑体"/>
            </w:rPr>
            <w:t>14</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"_Toc29266" </w:instrText>
          </w:r>
          <w:r>
            <w:fldChar w:fldCharType="separate"/>
          </w:r>
          <w:r>
            <w:rPr>
              <w:rFonts w:ascii="黑体" w:hAnsi="黑体" w:eastAsia="黑体"/>
            </w:rPr>
            <w:t>8竞赛场地要求</w:t>
          </w:r>
          <w:r>
            <w:rPr>
              <w:rFonts w:ascii="黑体" w:hAnsi="黑体" w:eastAsia="黑体"/>
            </w:rPr>
            <w:tab/>
          </w:r>
          <w:r>
            <w:rPr>
              <w:rFonts w:ascii="黑体" w:hAnsi="黑体" w:eastAsia="黑体"/>
            </w:rPr>
            <w:fldChar w:fldCharType="begin"/>
          </w:r>
          <w:r>
            <w:rPr>
              <w:rFonts w:ascii="黑体" w:hAnsi="黑体" w:eastAsia="黑体"/>
            </w:rPr>
            <w:instrText xml:space="preserve"> PAGEREF _Toc29266 \h </w:instrText>
          </w:r>
          <w:r>
            <w:rPr>
              <w:rFonts w:ascii="黑体" w:hAnsi="黑体" w:eastAsia="黑体"/>
            </w:rPr>
            <w:fldChar w:fldCharType="separate"/>
          </w:r>
          <w:r>
            <w:rPr>
              <w:rFonts w:ascii="黑体" w:hAnsi="黑体" w:eastAsia="黑体"/>
            </w:rPr>
            <w:t>15</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"_Toc26685" </w:instrText>
          </w:r>
          <w:r>
            <w:fldChar w:fldCharType="separate"/>
          </w:r>
          <w:r>
            <w:rPr>
              <w:rFonts w:ascii="黑体" w:hAnsi="黑体" w:eastAsia="黑体"/>
            </w:rPr>
            <w:t>8.1场地面积要求</w:t>
          </w:r>
          <w:r>
            <w:rPr>
              <w:rFonts w:ascii="黑体" w:hAnsi="黑体" w:eastAsia="黑体"/>
            </w:rPr>
            <w:tab/>
          </w:r>
          <w:r>
            <w:rPr>
              <w:rFonts w:ascii="黑体" w:hAnsi="黑体" w:eastAsia="黑体"/>
            </w:rPr>
            <w:fldChar w:fldCharType="begin"/>
          </w:r>
          <w:r>
            <w:rPr>
              <w:rFonts w:ascii="黑体" w:hAnsi="黑体" w:eastAsia="黑体"/>
            </w:rPr>
            <w:instrText xml:space="preserve"> PAGEREF _Toc26685 \h </w:instrText>
          </w:r>
          <w:r>
            <w:rPr>
              <w:rFonts w:ascii="黑体" w:hAnsi="黑体" w:eastAsia="黑体"/>
            </w:rPr>
            <w:fldChar w:fldCharType="separate"/>
          </w:r>
          <w:r>
            <w:rPr>
              <w:rFonts w:ascii="黑体" w:hAnsi="黑体" w:eastAsia="黑体"/>
            </w:rPr>
            <w:t>15</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"_Toc18732" </w:instrText>
          </w:r>
          <w:r>
            <w:fldChar w:fldCharType="separate"/>
          </w:r>
          <w:r>
            <w:rPr>
              <w:rFonts w:ascii="黑体" w:hAnsi="黑体" w:eastAsia="黑体"/>
            </w:rPr>
            <w:t>8.2场地照明要求</w:t>
          </w:r>
          <w:r>
            <w:rPr>
              <w:rFonts w:ascii="黑体" w:hAnsi="黑体" w:eastAsia="黑体"/>
            </w:rPr>
            <w:tab/>
          </w:r>
          <w:r>
            <w:rPr>
              <w:rFonts w:ascii="黑体" w:hAnsi="黑体" w:eastAsia="黑体"/>
            </w:rPr>
            <w:fldChar w:fldCharType="begin"/>
          </w:r>
          <w:r>
            <w:rPr>
              <w:rFonts w:ascii="黑体" w:hAnsi="黑体" w:eastAsia="黑体"/>
            </w:rPr>
            <w:instrText xml:space="preserve"> PAGEREF _Toc18732 \h </w:instrText>
          </w:r>
          <w:r>
            <w:rPr>
              <w:rFonts w:ascii="黑体" w:hAnsi="黑体" w:eastAsia="黑体"/>
            </w:rPr>
            <w:fldChar w:fldCharType="separate"/>
          </w:r>
          <w:r>
            <w:rPr>
              <w:rFonts w:ascii="黑体" w:hAnsi="黑体" w:eastAsia="黑体"/>
            </w:rPr>
            <w:t>16</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"_Toc1729" </w:instrText>
          </w:r>
          <w:r>
            <w:fldChar w:fldCharType="separate"/>
          </w:r>
          <w:r>
            <w:rPr>
              <w:rFonts w:ascii="黑体" w:hAnsi="黑体" w:eastAsia="黑体"/>
            </w:rPr>
            <w:t>8.3场地消防和逃生要求</w:t>
          </w:r>
          <w:r>
            <w:rPr>
              <w:rFonts w:ascii="黑体" w:hAnsi="黑体" w:eastAsia="黑体"/>
            </w:rPr>
            <w:tab/>
          </w:r>
          <w:r>
            <w:rPr>
              <w:rFonts w:ascii="黑体" w:hAnsi="黑体" w:eastAsia="黑体"/>
            </w:rPr>
            <w:fldChar w:fldCharType="begin"/>
          </w:r>
          <w:r>
            <w:rPr>
              <w:rFonts w:ascii="黑体" w:hAnsi="黑体" w:eastAsia="黑体"/>
            </w:rPr>
            <w:instrText xml:space="preserve"> PAGEREF _Toc1729 \h </w:instrText>
          </w:r>
          <w:r>
            <w:rPr>
              <w:rFonts w:ascii="黑体" w:hAnsi="黑体" w:eastAsia="黑体"/>
            </w:rPr>
            <w:fldChar w:fldCharType="separate"/>
          </w:r>
          <w:r>
            <w:rPr>
              <w:rFonts w:ascii="黑体" w:hAnsi="黑体" w:eastAsia="黑体"/>
            </w:rPr>
            <w:t>16</w:t>
          </w:r>
          <w:r>
            <w:rPr>
              <w:rFonts w:ascii="黑体" w:hAnsi="黑体" w:eastAsia="黑体"/>
            </w:rPr>
            <w:fldChar w:fldCharType="end"/>
          </w:r>
          <w:r>
            <w:rPr>
              <w:rFonts w:ascii="黑体" w:hAnsi="黑体" w:eastAsia="黑体"/>
            </w:rPr>
            <w:fldChar w:fldCharType="end"/>
          </w:r>
        </w:p>
        <w:p>
          <w:pPr>
            <w:pStyle w:val="11"/>
            <w:tabs>
              <w:tab w:val="right" w:leader="dot" w:pos="9071"/>
            </w:tabs>
            <w:ind w:firstLine="562"/>
            <w:rPr>
              <w:rFonts w:ascii="黑体" w:hAnsi="黑体" w:eastAsia="黑体"/>
            </w:rPr>
          </w:pPr>
          <w:r>
            <w:fldChar w:fldCharType="begin"/>
          </w:r>
          <w:r>
            <w:instrText xml:space="preserve"> HYPERLINK \l "_Toc29580" </w:instrText>
          </w:r>
          <w:r>
            <w:fldChar w:fldCharType="separate"/>
          </w:r>
          <w:r>
            <w:rPr>
              <w:rFonts w:hint="eastAsia" w:ascii="黑体" w:hAnsi="黑体" w:eastAsia="黑体"/>
            </w:rPr>
            <w:t>三、竞赛人员要求</w:t>
          </w:r>
          <w:r>
            <w:rPr>
              <w:rFonts w:ascii="黑体" w:hAnsi="黑体" w:eastAsia="黑体"/>
            </w:rPr>
            <w:tab/>
          </w:r>
          <w:r>
            <w:rPr>
              <w:rFonts w:ascii="黑体" w:hAnsi="黑体" w:eastAsia="黑体"/>
            </w:rPr>
            <w:fldChar w:fldCharType="begin"/>
          </w:r>
          <w:r>
            <w:rPr>
              <w:rFonts w:ascii="黑体" w:hAnsi="黑体" w:eastAsia="黑体"/>
            </w:rPr>
            <w:instrText xml:space="preserve"> PAGEREF _Toc29580 \h </w:instrText>
          </w:r>
          <w:r>
            <w:rPr>
              <w:rFonts w:ascii="黑体" w:hAnsi="黑体" w:eastAsia="黑体"/>
            </w:rPr>
            <w:fldChar w:fldCharType="separate"/>
          </w:r>
          <w:r>
            <w:rPr>
              <w:rFonts w:ascii="黑体" w:hAnsi="黑体" w:eastAsia="黑体"/>
            </w:rPr>
            <w:t>16</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"_Toc10364" </w:instrText>
          </w:r>
          <w:r>
            <w:fldChar w:fldCharType="separate"/>
          </w:r>
          <w:r>
            <w:rPr>
              <w:rFonts w:ascii="黑体" w:hAnsi="黑体" w:eastAsia="黑体"/>
            </w:rPr>
            <w:t>9裁判员条件和工作内容</w:t>
          </w:r>
          <w:r>
            <w:rPr>
              <w:rFonts w:ascii="黑体" w:hAnsi="黑体" w:eastAsia="黑体"/>
            </w:rPr>
            <w:tab/>
          </w:r>
          <w:r>
            <w:rPr>
              <w:rFonts w:ascii="黑体" w:hAnsi="黑体" w:eastAsia="黑体"/>
            </w:rPr>
            <w:fldChar w:fldCharType="begin"/>
          </w:r>
          <w:r>
            <w:rPr>
              <w:rFonts w:ascii="黑体" w:hAnsi="黑体" w:eastAsia="黑体"/>
            </w:rPr>
            <w:instrText xml:space="preserve"> PAGEREF _Toc10364 \h </w:instrText>
          </w:r>
          <w:r>
            <w:rPr>
              <w:rFonts w:ascii="黑体" w:hAnsi="黑体" w:eastAsia="黑体"/>
            </w:rPr>
            <w:fldChar w:fldCharType="separate"/>
          </w:r>
          <w:r>
            <w:rPr>
              <w:rFonts w:ascii="黑体" w:hAnsi="黑体" w:eastAsia="黑体"/>
            </w:rPr>
            <w:t>16</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"_Toc5096" </w:instrText>
          </w:r>
          <w:r>
            <w:fldChar w:fldCharType="separate"/>
          </w:r>
          <w:r>
            <w:rPr>
              <w:rFonts w:ascii="黑体" w:hAnsi="黑体" w:eastAsia="黑体"/>
            </w:rPr>
            <w:t>9.1裁判长</w:t>
          </w:r>
          <w:r>
            <w:rPr>
              <w:rFonts w:ascii="黑体" w:hAnsi="黑体" w:eastAsia="黑体"/>
            </w:rPr>
            <w:tab/>
          </w:r>
          <w:r>
            <w:rPr>
              <w:rFonts w:ascii="黑体" w:hAnsi="黑体" w:eastAsia="黑体"/>
            </w:rPr>
            <w:fldChar w:fldCharType="begin"/>
          </w:r>
          <w:r>
            <w:rPr>
              <w:rFonts w:ascii="黑体" w:hAnsi="黑体" w:eastAsia="黑体"/>
            </w:rPr>
            <w:instrText xml:space="preserve"> PAGEREF _Toc5096 \h </w:instrText>
          </w:r>
          <w:r>
            <w:rPr>
              <w:rFonts w:ascii="黑体" w:hAnsi="黑体" w:eastAsia="黑体"/>
            </w:rPr>
            <w:fldChar w:fldCharType="separate"/>
          </w:r>
          <w:r>
            <w:rPr>
              <w:rFonts w:ascii="黑体" w:hAnsi="黑体" w:eastAsia="黑体"/>
            </w:rPr>
            <w:t>16</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"_Toc32350" </w:instrText>
          </w:r>
          <w:r>
            <w:fldChar w:fldCharType="separate"/>
          </w:r>
          <w:r>
            <w:rPr>
              <w:rFonts w:ascii="黑体" w:hAnsi="黑体" w:eastAsia="黑体"/>
            </w:rPr>
            <w:t>9.2裁判员的条件和组成</w:t>
          </w:r>
          <w:r>
            <w:rPr>
              <w:rFonts w:ascii="黑体" w:hAnsi="黑体" w:eastAsia="黑体"/>
            </w:rPr>
            <w:tab/>
          </w:r>
          <w:r>
            <w:rPr>
              <w:rFonts w:ascii="黑体" w:hAnsi="黑体" w:eastAsia="黑体"/>
            </w:rPr>
            <w:fldChar w:fldCharType="begin"/>
          </w:r>
          <w:r>
            <w:rPr>
              <w:rFonts w:ascii="黑体" w:hAnsi="黑体" w:eastAsia="黑体"/>
            </w:rPr>
            <w:instrText xml:space="preserve"> PAGEREF _Toc32350 \h </w:instrText>
          </w:r>
          <w:r>
            <w:rPr>
              <w:rFonts w:ascii="黑体" w:hAnsi="黑体" w:eastAsia="黑体"/>
            </w:rPr>
            <w:fldChar w:fldCharType="separate"/>
          </w:r>
          <w:r>
            <w:rPr>
              <w:rFonts w:ascii="黑体" w:hAnsi="黑体" w:eastAsia="黑体"/>
            </w:rPr>
            <w:t>16</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"_Toc5755" </w:instrText>
          </w:r>
          <w:r>
            <w:fldChar w:fldCharType="separate"/>
          </w:r>
          <w:r>
            <w:rPr>
              <w:rFonts w:ascii="黑体" w:hAnsi="黑体" w:eastAsia="黑体"/>
            </w:rPr>
            <w:t>9.3裁判员的工作内容</w:t>
          </w:r>
          <w:r>
            <w:rPr>
              <w:rFonts w:ascii="黑体" w:hAnsi="黑体" w:eastAsia="黑体"/>
            </w:rPr>
            <w:tab/>
          </w:r>
          <w:r>
            <w:rPr>
              <w:rFonts w:ascii="黑体" w:hAnsi="黑体" w:eastAsia="黑体"/>
            </w:rPr>
            <w:fldChar w:fldCharType="begin"/>
          </w:r>
          <w:r>
            <w:rPr>
              <w:rFonts w:ascii="黑体" w:hAnsi="黑体" w:eastAsia="黑体"/>
            </w:rPr>
            <w:instrText xml:space="preserve"> PAGEREF _Toc5755 \h </w:instrText>
          </w:r>
          <w:r>
            <w:rPr>
              <w:rFonts w:ascii="黑体" w:hAnsi="黑体" w:eastAsia="黑体"/>
            </w:rPr>
            <w:fldChar w:fldCharType="separate"/>
          </w:r>
          <w:r>
            <w:rPr>
              <w:rFonts w:ascii="黑体" w:hAnsi="黑体" w:eastAsia="黑体"/>
            </w:rPr>
            <w:t>17</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"_Toc28317" </w:instrText>
          </w:r>
          <w:r>
            <w:fldChar w:fldCharType="separate"/>
          </w:r>
          <w:r>
            <w:rPr>
              <w:rFonts w:ascii="黑体" w:hAnsi="黑体" w:eastAsia="黑体"/>
            </w:rPr>
            <w:t>9.4裁判员在评判工作中的任务</w:t>
          </w:r>
          <w:r>
            <w:rPr>
              <w:rFonts w:ascii="黑体" w:hAnsi="黑体" w:eastAsia="黑体"/>
            </w:rPr>
            <w:tab/>
          </w:r>
          <w:r>
            <w:rPr>
              <w:rFonts w:ascii="黑体" w:hAnsi="黑体" w:eastAsia="黑体"/>
            </w:rPr>
            <w:fldChar w:fldCharType="begin"/>
          </w:r>
          <w:r>
            <w:rPr>
              <w:rFonts w:ascii="黑体" w:hAnsi="黑体" w:eastAsia="黑体"/>
            </w:rPr>
            <w:instrText xml:space="preserve"> PAGEREF _Toc28317 \h </w:instrText>
          </w:r>
          <w:r>
            <w:rPr>
              <w:rFonts w:ascii="黑体" w:hAnsi="黑体" w:eastAsia="黑体"/>
            </w:rPr>
            <w:fldChar w:fldCharType="separate"/>
          </w:r>
          <w:r>
            <w:rPr>
              <w:rFonts w:ascii="黑体" w:hAnsi="黑体" w:eastAsia="黑体"/>
            </w:rPr>
            <w:t>18</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"_Toc20474" </w:instrText>
          </w:r>
          <w:r>
            <w:fldChar w:fldCharType="separate"/>
          </w:r>
          <w:r>
            <w:rPr>
              <w:rFonts w:ascii="黑体" w:hAnsi="黑体" w:eastAsia="黑体"/>
            </w:rPr>
            <w:t>9.5裁判员在评判中的纪律和要求</w:t>
          </w:r>
          <w:r>
            <w:rPr>
              <w:rFonts w:ascii="黑体" w:hAnsi="黑体" w:eastAsia="黑体"/>
            </w:rPr>
            <w:tab/>
          </w:r>
          <w:r>
            <w:rPr>
              <w:rFonts w:ascii="黑体" w:hAnsi="黑体" w:eastAsia="黑体"/>
            </w:rPr>
            <w:fldChar w:fldCharType="begin"/>
          </w:r>
          <w:r>
            <w:rPr>
              <w:rFonts w:ascii="黑体" w:hAnsi="黑体" w:eastAsia="黑体"/>
            </w:rPr>
            <w:instrText xml:space="preserve"> PAGEREF _Toc20474 \h </w:instrText>
          </w:r>
          <w:r>
            <w:rPr>
              <w:rFonts w:ascii="黑体" w:hAnsi="黑体" w:eastAsia="黑体"/>
            </w:rPr>
            <w:fldChar w:fldCharType="separate"/>
          </w:r>
          <w:r>
            <w:rPr>
              <w:rFonts w:ascii="黑体" w:hAnsi="黑体" w:eastAsia="黑体"/>
            </w:rPr>
            <w:t>19</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"_Toc19716" </w:instrText>
          </w:r>
          <w:r>
            <w:fldChar w:fldCharType="separate"/>
          </w:r>
          <w:r>
            <w:rPr>
              <w:rFonts w:ascii="黑体" w:hAnsi="黑体" w:eastAsia="黑体"/>
            </w:rPr>
            <w:t>10选手条件和工作内容</w:t>
          </w:r>
          <w:r>
            <w:rPr>
              <w:rFonts w:ascii="黑体" w:hAnsi="黑体" w:eastAsia="黑体"/>
            </w:rPr>
            <w:tab/>
          </w:r>
          <w:r>
            <w:rPr>
              <w:rFonts w:ascii="黑体" w:hAnsi="黑体" w:eastAsia="黑体"/>
            </w:rPr>
            <w:fldChar w:fldCharType="begin"/>
          </w:r>
          <w:r>
            <w:rPr>
              <w:rFonts w:ascii="黑体" w:hAnsi="黑体" w:eastAsia="黑体"/>
            </w:rPr>
            <w:instrText xml:space="preserve"> PAGEREF _Toc19716 \h </w:instrText>
          </w:r>
          <w:r>
            <w:rPr>
              <w:rFonts w:ascii="黑体" w:hAnsi="黑体" w:eastAsia="黑体"/>
            </w:rPr>
            <w:fldChar w:fldCharType="separate"/>
          </w:r>
          <w:r>
            <w:rPr>
              <w:rFonts w:ascii="黑体" w:hAnsi="黑体" w:eastAsia="黑体"/>
            </w:rPr>
            <w:t>19</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"_Toc5938" </w:instrText>
          </w:r>
          <w:r>
            <w:fldChar w:fldCharType="separate"/>
          </w:r>
          <w:r>
            <w:rPr>
              <w:rFonts w:ascii="黑体" w:hAnsi="黑体" w:eastAsia="黑体"/>
            </w:rPr>
            <w:t>10.1选手的条件和要求</w:t>
          </w:r>
          <w:r>
            <w:rPr>
              <w:rFonts w:ascii="黑体" w:hAnsi="黑体" w:eastAsia="黑体"/>
            </w:rPr>
            <w:tab/>
          </w:r>
          <w:r>
            <w:rPr>
              <w:rFonts w:ascii="黑体" w:hAnsi="黑体" w:eastAsia="黑体"/>
            </w:rPr>
            <w:fldChar w:fldCharType="begin"/>
          </w:r>
          <w:r>
            <w:rPr>
              <w:rFonts w:ascii="黑体" w:hAnsi="黑体" w:eastAsia="黑体"/>
            </w:rPr>
            <w:instrText xml:space="preserve"> PAGEREF _Toc5938 \h </w:instrText>
          </w:r>
          <w:r>
            <w:rPr>
              <w:rFonts w:ascii="黑体" w:hAnsi="黑体" w:eastAsia="黑体"/>
            </w:rPr>
            <w:fldChar w:fldCharType="separate"/>
          </w:r>
          <w:r>
            <w:rPr>
              <w:rFonts w:ascii="黑体" w:hAnsi="黑体" w:eastAsia="黑体"/>
            </w:rPr>
            <w:t>19</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"_Toc18102" </w:instrText>
          </w:r>
          <w:r>
            <w:fldChar w:fldCharType="separate"/>
          </w:r>
          <w:r>
            <w:rPr>
              <w:rFonts w:ascii="黑体" w:hAnsi="黑体" w:eastAsia="黑体"/>
            </w:rPr>
            <w:t>10.2选手的工作内容</w:t>
          </w:r>
          <w:r>
            <w:rPr>
              <w:rFonts w:ascii="黑体" w:hAnsi="黑体" w:eastAsia="黑体"/>
            </w:rPr>
            <w:tab/>
          </w:r>
          <w:r>
            <w:rPr>
              <w:rFonts w:ascii="黑体" w:hAnsi="黑体" w:eastAsia="黑体"/>
            </w:rPr>
            <w:fldChar w:fldCharType="begin"/>
          </w:r>
          <w:r>
            <w:rPr>
              <w:rFonts w:ascii="黑体" w:hAnsi="黑体" w:eastAsia="黑体"/>
            </w:rPr>
            <w:instrText xml:space="preserve"> PAGEREF _Toc18102 \h </w:instrText>
          </w:r>
          <w:r>
            <w:rPr>
              <w:rFonts w:ascii="黑体" w:hAnsi="黑体" w:eastAsia="黑体"/>
            </w:rPr>
            <w:fldChar w:fldCharType="separate"/>
          </w:r>
          <w:r>
            <w:rPr>
              <w:rFonts w:ascii="黑体" w:hAnsi="黑体" w:eastAsia="黑体"/>
            </w:rPr>
            <w:t>20</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"_Toc22580" </w:instrText>
          </w:r>
          <w:r>
            <w:fldChar w:fldCharType="separate"/>
          </w:r>
          <w:r>
            <w:rPr>
              <w:rFonts w:ascii="黑体" w:hAnsi="黑体" w:eastAsia="黑体"/>
            </w:rPr>
            <w:t>10.3选手文明参赛要求</w:t>
          </w:r>
          <w:r>
            <w:rPr>
              <w:rFonts w:ascii="黑体" w:hAnsi="黑体" w:eastAsia="黑体"/>
            </w:rPr>
            <w:tab/>
          </w:r>
          <w:r>
            <w:rPr>
              <w:rFonts w:ascii="黑体" w:hAnsi="黑体" w:eastAsia="黑体"/>
            </w:rPr>
            <w:fldChar w:fldCharType="begin"/>
          </w:r>
          <w:r>
            <w:rPr>
              <w:rFonts w:ascii="黑体" w:hAnsi="黑体" w:eastAsia="黑体"/>
            </w:rPr>
            <w:instrText xml:space="preserve"> PAGEREF _Toc22580 \h </w:instrText>
          </w:r>
          <w:r>
            <w:rPr>
              <w:rFonts w:ascii="黑体" w:hAnsi="黑体" w:eastAsia="黑体"/>
            </w:rPr>
            <w:fldChar w:fldCharType="separate"/>
          </w:r>
          <w:r>
            <w:rPr>
              <w:rFonts w:ascii="黑体" w:hAnsi="黑体" w:eastAsia="黑体"/>
            </w:rPr>
            <w:t>20</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"_Toc9485" </w:instrText>
          </w:r>
          <w:r>
            <w:fldChar w:fldCharType="separate"/>
          </w:r>
          <w:r>
            <w:rPr>
              <w:rFonts w:ascii="黑体" w:hAnsi="黑体" w:eastAsia="黑体"/>
            </w:rPr>
            <w:t>11赛场纪律</w:t>
          </w:r>
          <w:r>
            <w:rPr>
              <w:rFonts w:ascii="黑体" w:hAnsi="黑体" w:eastAsia="黑体"/>
            </w:rPr>
            <w:tab/>
          </w:r>
          <w:r>
            <w:rPr>
              <w:rFonts w:ascii="黑体" w:hAnsi="黑体" w:eastAsia="黑体"/>
            </w:rPr>
            <w:fldChar w:fldCharType="begin"/>
          </w:r>
          <w:r>
            <w:rPr>
              <w:rFonts w:ascii="黑体" w:hAnsi="黑体" w:eastAsia="黑体"/>
            </w:rPr>
            <w:instrText xml:space="preserve"> PAGEREF _Toc9485 \h </w:instrText>
          </w:r>
          <w:r>
            <w:rPr>
              <w:rFonts w:ascii="黑体" w:hAnsi="黑体" w:eastAsia="黑体"/>
            </w:rPr>
            <w:fldChar w:fldCharType="separate"/>
          </w:r>
          <w:r>
            <w:rPr>
              <w:rFonts w:ascii="黑体" w:hAnsi="黑体" w:eastAsia="黑体"/>
            </w:rPr>
            <w:t>23</w:t>
          </w:r>
          <w:r>
            <w:rPr>
              <w:rFonts w:ascii="黑体" w:hAnsi="黑体" w:eastAsia="黑体"/>
            </w:rPr>
            <w:fldChar w:fldCharType="end"/>
          </w:r>
          <w:r>
            <w:rPr>
              <w:rFonts w:ascii="黑体" w:hAnsi="黑体" w:eastAsia="黑体"/>
            </w:rPr>
            <w:fldChar w:fldCharType="end"/>
          </w:r>
        </w:p>
        <w:p>
          <w:pPr>
            <w:pStyle w:val="11"/>
            <w:tabs>
              <w:tab w:val="right" w:leader="dot" w:pos="9071"/>
            </w:tabs>
            <w:ind w:firstLine="562"/>
            <w:rPr>
              <w:rFonts w:ascii="黑体" w:hAnsi="黑体" w:eastAsia="黑体"/>
            </w:rPr>
          </w:pPr>
          <w:r>
            <w:fldChar w:fldCharType="begin"/>
          </w:r>
          <w:r>
            <w:instrText xml:space="preserve"> HYPERLINK \l "_Toc22072" </w:instrText>
          </w:r>
          <w:r>
            <w:fldChar w:fldCharType="separate"/>
          </w:r>
          <w:r>
            <w:rPr>
              <w:rFonts w:hint="eastAsia" w:ascii="黑体" w:hAnsi="黑体" w:eastAsia="黑体"/>
            </w:rPr>
            <w:t>四、竞赛相关要求</w:t>
          </w:r>
          <w:r>
            <w:rPr>
              <w:rFonts w:ascii="黑体" w:hAnsi="黑体" w:eastAsia="黑体"/>
            </w:rPr>
            <w:tab/>
          </w:r>
          <w:r>
            <w:rPr>
              <w:rFonts w:ascii="黑体" w:hAnsi="黑体" w:eastAsia="黑体"/>
            </w:rPr>
            <w:fldChar w:fldCharType="begin"/>
          </w:r>
          <w:r>
            <w:rPr>
              <w:rFonts w:ascii="黑体" w:hAnsi="黑体" w:eastAsia="黑体"/>
            </w:rPr>
            <w:instrText xml:space="preserve"> PAGEREF _Toc22072 \h </w:instrText>
          </w:r>
          <w:r>
            <w:rPr>
              <w:rFonts w:ascii="黑体" w:hAnsi="黑体" w:eastAsia="黑体"/>
            </w:rPr>
            <w:fldChar w:fldCharType="separate"/>
          </w:r>
          <w:r>
            <w:rPr>
              <w:rFonts w:ascii="黑体" w:hAnsi="黑体" w:eastAsia="黑体"/>
            </w:rPr>
            <w:t>23</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"_Toc26755" </w:instrText>
          </w:r>
          <w:r>
            <w:fldChar w:fldCharType="separate"/>
          </w:r>
          <w:r>
            <w:rPr>
              <w:rFonts w:ascii="黑体" w:hAnsi="黑体" w:eastAsia="黑体"/>
            </w:rPr>
            <w:t>12竞赛安全要求</w:t>
          </w:r>
          <w:r>
            <w:rPr>
              <w:rFonts w:ascii="黑体" w:hAnsi="黑体" w:eastAsia="黑体"/>
            </w:rPr>
            <w:tab/>
          </w:r>
          <w:r>
            <w:rPr>
              <w:rFonts w:ascii="黑体" w:hAnsi="黑体" w:eastAsia="黑体"/>
            </w:rPr>
            <w:fldChar w:fldCharType="begin"/>
          </w:r>
          <w:r>
            <w:rPr>
              <w:rFonts w:ascii="黑体" w:hAnsi="黑体" w:eastAsia="黑体"/>
            </w:rPr>
            <w:instrText xml:space="preserve"> PAGEREF _Toc26755 \h </w:instrText>
          </w:r>
          <w:r>
            <w:rPr>
              <w:rFonts w:ascii="黑体" w:hAnsi="黑体" w:eastAsia="黑体"/>
            </w:rPr>
            <w:fldChar w:fldCharType="separate"/>
          </w:r>
          <w:r>
            <w:rPr>
              <w:rFonts w:ascii="黑体" w:hAnsi="黑体" w:eastAsia="黑体"/>
            </w:rPr>
            <w:t>23</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"_Toc14700" </w:instrText>
          </w:r>
          <w:r>
            <w:fldChar w:fldCharType="separate"/>
          </w:r>
          <w:r>
            <w:rPr>
              <w:rFonts w:ascii="黑体" w:hAnsi="黑体" w:eastAsia="黑体"/>
            </w:rPr>
            <w:t>12.1选手安全防护措施要求</w:t>
          </w:r>
          <w:r>
            <w:rPr>
              <w:rFonts w:ascii="黑体" w:hAnsi="黑体" w:eastAsia="黑体"/>
            </w:rPr>
            <w:tab/>
          </w:r>
          <w:r>
            <w:rPr>
              <w:rFonts w:ascii="黑体" w:hAnsi="黑体" w:eastAsia="黑体"/>
            </w:rPr>
            <w:fldChar w:fldCharType="begin"/>
          </w:r>
          <w:r>
            <w:rPr>
              <w:rFonts w:ascii="黑体" w:hAnsi="黑体" w:eastAsia="黑体"/>
            </w:rPr>
            <w:instrText xml:space="preserve"> PAGEREF _Toc14700 \h </w:instrText>
          </w:r>
          <w:r>
            <w:rPr>
              <w:rFonts w:ascii="黑体" w:hAnsi="黑体" w:eastAsia="黑体"/>
            </w:rPr>
            <w:fldChar w:fldCharType="separate"/>
          </w:r>
          <w:r>
            <w:rPr>
              <w:rFonts w:ascii="黑体" w:hAnsi="黑体" w:eastAsia="黑体"/>
            </w:rPr>
            <w:t>23</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"_Toc964" </w:instrText>
          </w:r>
          <w:r>
            <w:fldChar w:fldCharType="separate"/>
          </w:r>
          <w:r>
            <w:rPr>
              <w:rFonts w:ascii="黑体" w:hAnsi="黑体" w:eastAsia="黑体"/>
            </w:rPr>
            <w:t>12.2有毒有害物品的管理和限制</w:t>
          </w:r>
          <w:r>
            <w:rPr>
              <w:rFonts w:ascii="黑体" w:hAnsi="黑体" w:eastAsia="黑体"/>
            </w:rPr>
            <w:tab/>
          </w:r>
          <w:r>
            <w:rPr>
              <w:rFonts w:ascii="黑体" w:hAnsi="黑体" w:eastAsia="黑体"/>
            </w:rPr>
            <w:fldChar w:fldCharType="begin"/>
          </w:r>
          <w:r>
            <w:rPr>
              <w:rFonts w:ascii="黑体" w:hAnsi="黑体" w:eastAsia="黑体"/>
            </w:rPr>
            <w:instrText xml:space="preserve"> PAGEREF _Toc964 \h </w:instrText>
          </w:r>
          <w:r>
            <w:rPr>
              <w:rFonts w:ascii="黑体" w:hAnsi="黑体" w:eastAsia="黑体"/>
            </w:rPr>
            <w:fldChar w:fldCharType="separate"/>
          </w:r>
          <w:r>
            <w:rPr>
              <w:rFonts w:ascii="黑体" w:hAnsi="黑体" w:eastAsia="黑体"/>
            </w:rPr>
            <w:t>24</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"_Toc12345" </w:instrText>
          </w:r>
          <w:r>
            <w:fldChar w:fldCharType="separate"/>
          </w:r>
          <w:r>
            <w:rPr>
              <w:rFonts w:ascii="黑体" w:hAnsi="黑体" w:eastAsia="黑体"/>
            </w:rPr>
            <w:t>12.3医疗设备和措施</w:t>
          </w:r>
          <w:r>
            <w:rPr>
              <w:rFonts w:ascii="黑体" w:hAnsi="黑体" w:eastAsia="黑体"/>
            </w:rPr>
            <w:tab/>
          </w:r>
          <w:r>
            <w:rPr>
              <w:rFonts w:ascii="黑体" w:hAnsi="黑体" w:eastAsia="黑体"/>
            </w:rPr>
            <w:fldChar w:fldCharType="begin"/>
          </w:r>
          <w:r>
            <w:rPr>
              <w:rFonts w:ascii="黑体" w:hAnsi="黑体" w:eastAsia="黑体"/>
            </w:rPr>
            <w:instrText xml:space="preserve"> PAGEREF _Toc12345 \h </w:instrText>
          </w:r>
          <w:r>
            <w:rPr>
              <w:rFonts w:ascii="黑体" w:hAnsi="黑体" w:eastAsia="黑体"/>
            </w:rPr>
            <w:fldChar w:fldCharType="separate"/>
          </w:r>
          <w:r>
            <w:rPr>
              <w:rFonts w:ascii="黑体" w:hAnsi="黑体" w:eastAsia="黑体"/>
            </w:rPr>
            <w:t>25</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"_Toc81" </w:instrText>
          </w:r>
          <w:r>
            <w:fldChar w:fldCharType="separate"/>
          </w:r>
          <w:r>
            <w:rPr>
              <w:rFonts w:ascii="黑体" w:hAnsi="黑体" w:eastAsia="黑体"/>
            </w:rPr>
            <w:t>13竞赛须知</w:t>
          </w:r>
          <w:r>
            <w:rPr>
              <w:rFonts w:ascii="黑体" w:hAnsi="黑体" w:eastAsia="黑体"/>
            </w:rPr>
            <w:tab/>
          </w:r>
          <w:r>
            <w:rPr>
              <w:rFonts w:ascii="黑体" w:hAnsi="黑体" w:eastAsia="黑体"/>
            </w:rPr>
            <w:fldChar w:fldCharType="begin"/>
          </w:r>
          <w:r>
            <w:rPr>
              <w:rFonts w:ascii="黑体" w:hAnsi="黑体" w:eastAsia="黑体"/>
            </w:rPr>
            <w:instrText xml:space="preserve"> PAGEREF _Toc81 \h </w:instrText>
          </w:r>
          <w:r>
            <w:rPr>
              <w:rFonts w:ascii="黑体" w:hAnsi="黑体" w:eastAsia="黑体"/>
            </w:rPr>
            <w:fldChar w:fldCharType="separate"/>
          </w:r>
          <w:r>
            <w:rPr>
              <w:rFonts w:ascii="黑体" w:hAnsi="黑体" w:eastAsia="黑体"/>
            </w:rPr>
            <w:t>25</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"_Toc26577" </w:instrText>
          </w:r>
          <w:r>
            <w:fldChar w:fldCharType="separate"/>
          </w:r>
          <w:r>
            <w:rPr>
              <w:rFonts w:ascii="黑体" w:hAnsi="黑体" w:eastAsia="黑体"/>
            </w:rPr>
            <w:t>13.1参赛队须知</w:t>
          </w:r>
          <w:r>
            <w:rPr>
              <w:rFonts w:ascii="黑体" w:hAnsi="黑体" w:eastAsia="黑体"/>
            </w:rPr>
            <w:tab/>
          </w:r>
          <w:r>
            <w:rPr>
              <w:rFonts w:ascii="黑体" w:hAnsi="黑体" w:eastAsia="黑体"/>
            </w:rPr>
            <w:fldChar w:fldCharType="begin"/>
          </w:r>
          <w:r>
            <w:rPr>
              <w:rFonts w:ascii="黑体" w:hAnsi="黑体" w:eastAsia="黑体"/>
            </w:rPr>
            <w:instrText xml:space="preserve"> PAGEREF _Toc26577 \h </w:instrText>
          </w:r>
          <w:r>
            <w:rPr>
              <w:rFonts w:ascii="黑体" w:hAnsi="黑体" w:eastAsia="黑体"/>
            </w:rPr>
            <w:fldChar w:fldCharType="separate"/>
          </w:r>
          <w:r>
            <w:rPr>
              <w:rFonts w:ascii="黑体" w:hAnsi="黑体" w:eastAsia="黑体"/>
            </w:rPr>
            <w:t>25</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"_Toc24939" </w:instrText>
          </w:r>
          <w:r>
            <w:fldChar w:fldCharType="separate"/>
          </w:r>
          <w:r>
            <w:rPr>
              <w:rFonts w:ascii="黑体" w:hAnsi="黑体" w:eastAsia="黑体"/>
            </w:rPr>
            <w:t>13.2教练（指导教师）须知</w:t>
          </w:r>
          <w:r>
            <w:rPr>
              <w:rFonts w:ascii="黑体" w:hAnsi="黑体" w:eastAsia="黑体"/>
            </w:rPr>
            <w:tab/>
          </w:r>
          <w:r>
            <w:rPr>
              <w:rFonts w:ascii="黑体" w:hAnsi="黑体" w:eastAsia="黑体"/>
            </w:rPr>
            <w:fldChar w:fldCharType="begin"/>
          </w:r>
          <w:r>
            <w:rPr>
              <w:rFonts w:ascii="黑体" w:hAnsi="黑体" w:eastAsia="黑体"/>
            </w:rPr>
            <w:instrText xml:space="preserve"> PAGEREF _Toc24939 \h </w:instrText>
          </w:r>
          <w:r>
            <w:rPr>
              <w:rFonts w:ascii="黑体" w:hAnsi="黑体" w:eastAsia="黑体"/>
            </w:rPr>
            <w:fldChar w:fldCharType="separate"/>
          </w:r>
          <w:r>
            <w:rPr>
              <w:rFonts w:ascii="黑体" w:hAnsi="黑体" w:eastAsia="黑体"/>
            </w:rPr>
            <w:t>26</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"_Toc32252" </w:instrText>
          </w:r>
          <w:r>
            <w:fldChar w:fldCharType="separate"/>
          </w:r>
          <w:r>
            <w:rPr>
              <w:rFonts w:ascii="黑体" w:hAnsi="黑体" w:eastAsia="黑体"/>
            </w:rPr>
            <w:t>13.3参赛选手须知</w:t>
          </w:r>
          <w:r>
            <w:rPr>
              <w:rFonts w:ascii="黑体" w:hAnsi="黑体" w:eastAsia="黑体"/>
            </w:rPr>
            <w:tab/>
          </w:r>
          <w:r>
            <w:rPr>
              <w:rFonts w:ascii="黑体" w:hAnsi="黑体" w:eastAsia="黑体"/>
            </w:rPr>
            <w:fldChar w:fldCharType="begin"/>
          </w:r>
          <w:r>
            <w:rPr>
              <w:rFonts w:ascii="黑体" w:hAnsi="黑体" w:eastAsia="黑体"/>
            </w:rPr>
            <w:instrText xml:space="preserve"> PAGEREF _Toc32252 \h </w:instrText>
          </w:r>
          <w:r>
            <w:rPr>
              <w:rFonts w:ascii="黑体" w:hAnsi="黑体" w:eastAsia="黑体"/>
            </w:rPr>
            <w:fldChar w:fldCharType="separate"/>
          </w:r>
          <w:r>
            <w:rPr>
              <w:rFonts w:ascii="黑体" w:hAnsi="黑体" w:eastAsia="黑体"/>
            </w:rPr>
            <w:t>26</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"_Toc32538" </w:instrText>
          </w:r>
          <w:r>
            <w:fldChar w:fldCharType="separate"/>
          </w:r>
          <w:r>
            <w:rPr>
              <w:rFonts w:ascii="黑体" w:hAnsi="黑体" w:eastAsia="黑体"/>
            </w:rPr>
            <w:t>13.4工作人员须知</w:t>
          </w:r>
          <w:r>
            <w:rPr>
              <w:rFonts w:ascii="黑体" w:hAnsi="黑体" w:eastAsia="黑体"/>
            </w:rPr>
            <w:tab/>
          </w:r>
          <w:r>
            <w:rPr>
              <w:rFonts w:ascii="黑体" w:hAnsi="黑体" w:eastAsia="黑体"/>
            </w:rPr>
            <w:fldChar w:fldCharType="begin"/>
          </w:r>
          <w:r>
            <w:rPr>
              <w:rFonts w:ascii="黑体" w:hAnsi="黑体" w:eastAsia="黑体"/>
            </w:rPr>
            <w:instrText xml:space="preserve"> PAGEREF _Toc32538 \h </w:instrText>
          </w:r>
          <w:r>
            <w:rPr>
              <w:rFonts w:ascii="黑体" w:hAnsi="黑体" w:eastAsia="黑体"/>
            </w:rPr>
            <w:fldChar w:fldCharType="separate"/>
          </w:r>
          <w:r>
            <w:rPr>
              <w:rFonts w:ascii="黑体" w:hAnsi="黑体" w:eastAsia="黑体"/>
            </w:rPr>
            <w:t>29</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"_Toc24191" </w:instrText>
          </w:r>
          <w:r>
            <w:fldChar w:fldCharType="separate"/>
          </w:r>
          <w:r>
            <w:rPr>
              <w:rFonts w:ascii="黑体" w:hAnsi="黑体" w:eastAsia="黑体"/>
            </w:rPr>
            <w:t>13.5裁判员须知</w:t>
          </w:r>
          <w:r>
            <w:rPr>
              <w:rFonts w:ascii="黑体" w:hAnsi="黑体" w:eastAsia="黑体"/>
            </w:rPr>
            <w:tab/>
          </w:r>
          <w:r>
            <w:rPr>
              <w:rFonts w:ascii="黑体" w:hAnsi="黑体" w:eastAsia="黑体"/>
            </w:rPr>
            <w:fldChar w:fldCharType="begin"/>
          </w:r>
          <w:r>
            <w:rPr>
              <w:rFonts w:ascii="黑体" w:hAnsi="黑体" w:eastAsia="黑体"/>
            </w:rPr>
            <w:instrText xml:space="preserve"> PAGEREF _Toc24191 \h </w:instrText>
          </w:r>
          <w:r>
            <w:rPr>
              <w:rFonts w:ascii="黑体" w:hAnsi="黑体" w:eastAsia="黑体"/>
            </w:rPr>
            <w:fldChar w:fldCharType="separate"/>
          </w:r>
          <w:r>
            <w:rPr>
              <w:rFonts w:ascii="黑体" w:hAnsi="黑体" w:eastAsia="黑体"/>
            </w:rPr>
            <w:t>30</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"_Toc8835" </w:instrText>
          </w:r>
          <w:r>
            <w:fldChar w:fldCharType="separate"/>
          </w:r>
          <w:r>
            <w:rPr>
              <w:rFonts w:ascii="黑体" w:hAnsi="黑体" w:eastAsia="黑体"/>
            </w:rPr>
            <w:t>14开放现场的要求</w:t>
          </w:r>
          <w:r>
            <w:rPr>
              <w:rFonts w:ascii="黑体" w:hAnsi="黑体" w:eastAsia="黑体"/>
            </w:rPr>
            <w:tab/>
          </w:r>
          <w:r>
            <w:rPr>
              <w:rFonts w:ascii="黑体" w:hAnsi="黑体" w:eastAsia="黑体"/>
            </w:rPr>
            <w:fldChar w:fldCharType="begin"/>
          </w:r>
          <w:r>
            <w:rPr>
              <w:rFonts w:ascii="黑体" w:hAnsi="黑体" w:eastAsia="黑体"/>
            </w:rPr>
            <w:instrText xml:space="preserve"> PAGEREF _Toc8835 \h </w:instrText>
          </w:r>
          <w:r>
            <w:rPr>
              <w:rFonts w:ascii="黑体" w:hAnsi="黑体" w:eastAsia="黑体"/>
            </w:rPr>
            <w:fldChar w:fldCharType="separate"/>
          </w:r>
          <w:r>
            <w:rPr>
              <w:rFonts w:ascii="黑体" w:hAnsi="黑体" w:eastAsia="黑体"/>
            </w:rPr>
            <w:t>31</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"_Toc20629" </w:instrText>
          </w:r>
          <w:r>
            <w:fldChar w:fldCharType="separate"/>
          </w:r>
          <w:r>
            <w:rPr>
              <w:rFonts w:ascii="黑体" w:hAnsi="黑体" w:eastAsia="黑体"/>
            </w:rPr>
            <w:t>14.1对于公众开放的要求</w:t>
          </w:r>
          <w:r>
            <w:rPr>
              <w:rFonts w:ascii="黑体" w:hAnsi="黑体" w:eastAsia="黑体"/>
            </w:rPr>
            <w:tab/>
          </w:r>
          <w:r>
            <w:rPr>
              <w:rFonts w:ascii="黑体" w:hAnsi="黑体" w:eastAsia="黑体"/>
            </w:rPr>
            <w:fldChar w:fldCharType="begin"/>
          </w:r>
          <w:r>
            <w:rPr>
              <w:rFonts w:ascii="黑体" w:hAnsi="黑体" w:eastAsia="黑体"/>
            </w:rPr>
            <w:instrText xml:space="preserve"> PAGEREF _Toc20629 \h </w:instrText>
          </w:r>
          <w:r>
            <w:rPr>
              <w:rFonts w:ascii="黑体" w:hAnsi="黑体" w:eastAsia="黑体"/>
            </w:rPr>
            <w:fldChar w:fldCharType="separate"/>
          </w:r>
          <w:r>
            <w:rPr>
              <w:rFonts w:ascii="黑体" w:hAnsi="黑体" w:eastAsia="黑体"/>
            </w:rPr>
            <w:t>31</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"_Toc13810" </w:instrText>
          </w:r>
          <w:r>
            <w:fldChar w:fldCharType="separate"/>
          </w:r>
          <w:r>
            <w:rPr>
              <w:rFonts w:ascii="黑体" w:hAnsi="黑体" w:eastAsia="黑体"/>
            </w:rPr>
            <w:t>14.2关于赞助商和宣传的要求</w:t>
          </w:r>
          <w:r>
            <w:rPr>
              <w:rFonts w:ascii="黑体" w:hAnsi="黑体" w:eastAsia="黑体"/>
            </w:rPr>
            <w:tab/>
          </w:r>
          <w:r>
            <w:rPr>
              <w:rFonts w:ascii="黑体" w:hAnsi="黑体" w:eastAsia="黑体"/>
            </w:rPr>
            <w:fldChar w:fldCharType="begin"/>
          </w:r>
          <w:r>
            <w:rPr>
              <w:rFonts w:ascii="黑体" w:hAnsi="黑体" w:eastAsia="黑体"/>
            </w:rPr>
            <w:instrText xml:space="preserve"> PAGEREF _Toc13810 \h </w:instrText>
          </w:r>
          <w:r>
            <w:rPr>
              <w:rFonts w:ascii="黑体" w:hAnsi="黑体" w:eastAsia="黑体"/>
            </w:rPr>
            <w:fldChar w:fldCharType="separate"/>
          </w:r>
          <w:r>
            <w:rPr>
              <w:rFonts w:ascii="黑体" w:hAnsi="黑体" w:eastAsia="黑体"/>
            </w:rPr>
            <w:t>31</w:t>
          </w:r>
          <w:r>
            <w:rPr>
              <w:rFonts w:ascii="黑体" w:hAnsi="黑体" w:eastAsia="黑体"/>
            </w:rPr>
            <w:fldChar w:fldCharType="end"/>
          </w:r>
          <w:r>
            <w:rPr>
              <w:rFonts w:ascii="黑体" w:hAnsi="黑体" w:eastAsia="黑体"/>
            </w:rPr>
            <w:fldChar w:fldCharType="end"/>
          </w:r>
        </w:p>
        <w:p>
          <w:pPr>
            <w:pStyle w:val="12"/>
            <w:tabs>
              <w:tab w:val="right" w:leader="dot" w:pos="9071"/>
            </w:tabs>
            <w:ind w:firstLine="560"/>
            <w:rPr>
              <w:rFonts w:ascii="黑体" w:hAnsi="黑体" w:eastAsia="黑体"/>
            </w:rPr>
          </w:pPr>
          <w:r>
            <w:fldChar w:fldCharType="begin"/>
          </w:r>
          <w:r>
            <w:instrText xml:space="preserve"> HYPERLINK \l "_Toc23888" </w:instrText>
          </w:r>
          <w:r>
            <w:fldChar w:fldCharType="separate"/>
          </w:r>
          <w:r>
            <w:rPr>
              <w:rFonts w:ascii="黑体" w:hAnsi="黑体" w:eastAsia="黑体"/>
            </w:rPr>
            <w:t>15绿色环保</w:t>
          </w:r>
          <w:r>
            <w:rPr>
              <w:rFonts w:ascii="黑体" w:hAnsi="黑体" w:eastAsia="黑体"/>
            </w:rPr>
            <w:tab/>
          </w:r>
          <w:r>
            <w:rPr>
              <w:rFonts w:ascii="黑体" w:hAnsi="黑体" w:eastAsia="黑体"/>
            </w:rPr>
            <w:fldChar w:fldCharType="begin"/>
          </w:r>
          <w:r>
            <w:rPr>
              <w:rFonts w:ascii="黑体" w:hAnsi="黑体" w:eastAsia="黑体"/>
            </w:rPr>
            <w:instrText xml:space="preserve"> PAGEREF _Toc23888 \h </w:instrText>
          </w:r>
          <w:r>
            <w:rPr>
              <w:rFonts w:ascii="黑体" w:hAnsi="黑体" w:eastAsia="黑体"/>
            </w:rPr>
            <w:fldChar w:fldCharType="separate"/>
          </w:r>
          <w:r>
            <w:rPr>
              <w:rFonts w:ascii="黑体" w:hAnsi="黑体" w:eastAsia="黑体"/>
            </w:rPr>
            <w:t>31</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rPr>
              <w:rFonts w:ascii="黑体" w:hAnsi="黑体" w:eastAsia="黑体"/>
            </w:rPr>
          </w:pPr>
          <w:r>
            <w:fldChar w:fldCharType="begin"/>
          </w:r>
          <w:r>
            <w:instrText xml:space="preserve"> HYPERLINK \l "_Toc11847" </w:instrText>
          </w:r>
          <w:r>
            <w:fldChar w:fldCharType="separate"/>
          </w:r>
          <w:r>
            <w:rPr>
              <w:rFonts w:ascii="黑体" w:hAnsi="黑体" w:eastAsia="黑体"/>
            </w:rPr>
            <w:t>15.1环境保护</w:t>
          </w:r>
          <w:r>
            <w:rPr>
              <w:rFonts w:ascii="黑体" w:hAnsi="黑体" w:eastAsia="黑体"/>
            </w:rPr>
            <w:tab/>
          </w:r>
          <w:r>
            <w:rPr>
              <w:rFonts w:ascii="黑体" w:hAnsi="黑体" w:eastAsia="黑体"/>
            </w:rPr>
            <w:fldChar w:fldCharType="begin"/>
          </w:r>
          <w:r>
            <w:rPr>
              <w:rFonts w:ascii="黑体" w:hAnsi="黑体" w:eastAsia="黑体"/>
            </w:rPr>
            <w:instrText xml:space="preserve"> PAGEREF _Toc11847 \h </w:instrText>
          </w:r>
          <w:r>
            <w:rPr>
              <w:rFonts w:ascii="黑体" w:hAnsi="黑体" w:eastAsia="黑体"/>
            </w:rPr>
            <w:fldChar w:fldCharType="separate"/>
          </w:r>
          <w:r>
            <w:rPr>
              <w:rFonts w:ascii="黑体" w:hAnsi="黑体" w:eastAsia="黑体"/>
            </w:rPr>
            <w:t>31</w:t>
          </w:r>
          <w:r>
            <w:rPr>
              <w:rFonts w:ascii="黑体" w:hAnsi="黑体" w:eastAsia="黑体"/>
            </w:rPr>
            <w:fldChar w:fldCharType="end"/>
          </w:r>
          <w:r>
            <w:rPr>
              <w:rFonts w:ascii="黑体" w:hAnsi="黑体" w:eastAsia="黑体"/>
            </w:rPr>
            <w:fldChar w:fldCharType="end"/>
          </w:r>
        </w:p>
        <w:p>
          <w:pPr>
            <w:pStyle w:val="8"/>
            <w:tabs>
              <w:tab w:val="right" w:leader="dot" w:pos="9071"/>
            </w:tabs>
            <w:ind w:firstLine="560"/>
          </w:pPr>
          <w:r>
            <w:fldChar w:fldCharType="begin"/>
          </w:r>
          <w:r>
            <w:instrText xml:space="preserve"> HYPERLINK \l "_Toc15836" </w:instrText>
          </w:r>
          <w:r>
            <w:fldChar w:fldCharType="separate"/>
          </w:r>
          <w:r>
            <w:rPr>
              <w:rFonts w:ascii="黑体" w:hAnsi="黑体" w:eastAsia="黑体"/>
            </w:rPr>
            <w:t>15.2循环利用</w:t>
          </w:r>
          <w:r>
            <w:rPr>
              <w:rFonts w:ascii="黑体" w:hAnsi="黑体" w:eastAsia="黑体"/>
            </w:rPr>
            <w:tab/>
          </w:r>
          <w:r>
            <w:rPr>
              <w:rFonts w:ascii="黑体" w:hAnsi="黑体" w:eastAsia="黑体"/>
            </w:rPr>
            <w:fldChar w:fldCharType="begin"/>
          </w:r>
          <w:r>
            <w:rPr>
              <w:rFonts w:ascii="黑体" w:hAnsi="黑体" w:eastAsia="黑体"/>
            </w:rPr>
            <w:instrText xml:space="preserve"> PAGEREF _Toc15836 \h </w:instrText>
          </w:r>
          <w:r>
            <w:rPr>
              <w:rFonts w:ascii="黑体" w:hAnsi="黑体" w:eastAsia="黑体"/>
            </w:rPr>
            <w:fldChar w:fldCharType="separate"/>
          </w:r>
          <w:r>
            <w:rPr>
              <w:rFonts w:ascii="黑体" w:hAnsi="黑体" w:eastAsia="黑体"/>
            </w:rPr>
            <w:t>31</w:t>
          </w:r>
          <w:r>
            <w:rPr>
              <w:rFonts w:ascii="黑体" w:hAnsi="黑体" w:eastAsia="黑体"/>
            </w:rPr>
            <w:fldChar w:fldCharType="end"/>
          </w:r>
          <w:r>
            <w:rPr>
              <w:rFonts w:ascii="黑体" w:hAnsi="黑体" w:eastAsia="黑体"/>
            </w:rPr>
            <w:fldChar w:fldCharType="end"/>
          </w:r>
        </w:p>
        <w:p>
          <w:pPr>
            <w:spacing w:line="240" w:lineRule="auto"/>
            <w:ind w:firstLine="560"/>
            <w:rPr>
              <w:rFonts w:eastAsia="仿宋" w:cs="Times New Roman"/>
            </w:rPr>
          </w:pPr>
          <w:r>
            <w:rPr>
              <w:rFonts w:eastAsia="仿宋" w:cs="Times New Roman"/>
              <w:lang w:eastAsia="zh-CN"/>
            </w:rPr>
            <w:fldChar w:fldCharType="end"/>
          </w:r>
        </w:p>
      </w:sdtContent>
    </w:sdt>
    <w:p>
      <w:pPr>
        <w:pStyle w:val="12"/>
        <w:widowControl w:val="0"/>
        <w:tabs>
          <w:tab w:val="right" w:leader="dot" w:pos="8846"/>
        </w:tabs>
        <w:spacing w:line="240" w:lineRule="auto"/>
        <w:ind w:left="0" w:firstLine="0" w:firstLineChars="0"/>
        <w:jc w:val="left"/>
        <w:rPr>
          <w:rFonts w:ascii="仿宋" w:hAnsi="仿宋" w:eastAsia="仿宋"/>
          <w:b/>
          <w:szCs w:val="24"/>
        </w:rPr>
        <w:sectPr>
          <w:footerReference r:id="rId11" w:type="default"/>
          <w:pgSz w:w="11906" w:h="16838"/>
          <w:pgMar w:top="1418" w:right="1134" w:bottom="1418" w:left="1701" w:header="851" w:footer="992" w:gutter="0"/>
          <w:pgNumType w:start="1"/>
          <w:cols w:space="425" w:num="1"/>
          <w:docGrid w:type="lines" w:linePitch="312" w:charSpace="0"/>
        </w:sectPr>
      </w:pPr>
    </w:p>
    <w:p>
      <w:pPr>
        <w:autoSpaceDE/>
        <w:autoSpaceDN/>
        <w:ind w:firstLine="0" w:firstLineChars="0"/>
        <w:jc w:val="center"/>
        <w:rPr>
          <w:rFonts w:ascii="方正小标宋简体" w:hAnsi="方正小标宋简体" w:eastAsia="方正小标宋简体" w:cs="方正小标宋简体"/>
          <w:bCs/>
          <w:kern w:val="2"/>
          <w:sz w:val="36"/>
          <w:szCs w:val="36"/>
          <w:lang w:eastAsia="zh-CN"/>
        </w:rPr>
      </w:pPr>
      <w:r>
        <w:rPr>
          <w:rFonts w:hint="eastAsia" w:ascii="方正小标宋简体" w:hAnsi="方正小标宋简体" w:eastAsia="方正小标宋简体" w:cs="方正小标宋简体"/>
          <w:bCs/>
          <w:kern w:val="2"/>
          <w:sz w:val="36"/>
          <w:szCs w:val="36"/>
          <w:lang w:eastAsia="zh-CN"/>
        </w:rPr>
        <w:t>2023</w:t>
      </w:r>
      <w:r>
        <w:rPr>
          <w:rFonts w:ascii="方正小标宋简体" w:hAnsi="方正小标宋简体" w:eastAsia="方正小标宋简体" w:cs="方正小标宋简体"/>
          <w:bCs/>
          <w:kern w:val="2"/>
          <w:sz w:val="36"/>
          <w:szCs w:val="36"/>
          <w:lang w:eastAsia="zh-CN"/>
        </w:rPr>
        <w:t>年全国行业职业技能竞赛</w:t>
      </w:r>
    </w:p>
    <w:p>
      <w:pPr>
        <w:autoSpaceDE/>
        <w:autoSpaceDN/>
        <w:ind w:firstLine="0" w:firstLineChars="0"/>
        <w:jc w:val="center"/>
        <w:rPr>
          <w:rFonts w:ascii="方正小标宋简体" w:hAnsi="方正小标宋简体" w:eastAsia="方正小标宋简体" w:cs="方正小标宋简体"/>
          <w:bCs/>
          <w:kern w:val="2"/>
          <w:sz w:val="36"/>
          <w:szCs w:val="36"/>
          <w:lang w:eastAsia="zh-CN"/>
        </w:rPr>
      </w:pPr>
      <w:r>
        <w:rPr>
          <w:rFonts w:ascii="方正小标宋简体" w:hAnsi="方正小标宋简体" w:eastAsia="方正小标宋简体" w:cs="方正小标宋简体"/>
          <w:bCs/>
          <w:kern w:val="2"/>
          <w:sz w:val="36"/>
          <w:szCs w:val="36"/>
          <w:lang w:eastAsia="zh-CN"/>
        </w:rPr>
        <w:t>—</w:t>
      </w:r>
      <w:r>
        <w:rPr>
          <w:rFonts w:hint="eastAsia" w:ascii="方正小标宋简体" w:hAnsi="方正小标宋简体" w:eastAsia="方正小标宋简体" w:cs="方正小标宋简体"/>
          <w:bCs/>
          <w:kern w:val="2"/>
          <w:sz w:val="36"/>
          <w:szCs w:val="36"/>
          <w:lang w:eastAsia="zh-CN"/>
        </w:rPr>
        <w:t>第三届全国仪器仪表行业职业技能竞赛</w:t>
      </w:r>
    </w:p>
    <w:p>
      <w:pPr>
        <w:autoSpaceDE/>
        <w:autoSpaceDN/>
        <w:ind w:firstLine="0" w:firstLineChars="0"/>
        <w:jc w:val="center"/>
        <w:rPr>
          <w:rFonts w:ascii="方正小标宋简体" w:hAnsi="方正小标宋简体" w:eastAsia="方正小标宋简体" w:cs="方正小标宋简体"/>
          <w:bCs/>
          <w:kern w:val="2"/>
          <w:sz w:val="36"/>
          <w:szCs w:val="36"/>
          <w:lang w:eastAsia="zh-CN"/>
        </w:rPr>
      </w:pPr>
      <w:r>
        <w:rPr>
          <w:rFonts w:hint="eastAsia" w:ascii="方正小标宋简体" w:hAnsi="方正小标宋简体" w:eastAsia="方正小标宋简体" w:cs="方正小标宋简体"/>
          <w:bCs/>
          <w:kern w:val="2"/>
          <w:sz w:val="36"/>
          <w:szCs w:val="36"/>
          <w:lang w:eastAsia="zh-CN"/>
        </w:rPr>
        <w:t>电子设备调试工（系统测试与运维方向）</w:t>
      </w:r>
    </w:p>
    <w:p>
      <w:pPr>
        <w:autoSpaceDE/>
        <w:autoSpaceDN/>
        <w:ind w:firstLine="0" w:firstLineChars="0"/>
        <w:jc w:val="center"/>
        <w:rPr>
          <w:rFonts w:ascii="方正小标宋简体" w:hAnsi="方正小标宋简体" w:eastAsia="方正小标宋简体" w:cs="方正小标宋简体"/>
          <w:bCs/>
          <w:kern w:val="2"/>
          <w:sz w:val="36"/>
          <w:szCs w:val="36"/>
          <w:lang w:eastAsia="zh-CN"/>
        </w:rPr>
      </w:pPr>
      <w:r>
        <w:rPr>
          <w:rFonts w:ascii="方正小标宋简体" w:hAnsi="方正小标宋简体" w:eastAsia="方正小标宋简体" w:cs="方正小标宋简体"/>
          <w:bCs/>
          <w:kern w:val="2"/>
          <w:sz w:val="36"/>
          <w:szCs w:val="36"/>
          <w:lang w:eastAsia="zh-CN"/>
        </w:rPr>
        <w:t>赛项竞赛规程</w:t>
      </w:r>
    </w:p>
    <w:p>
      <w:pPr>
        <w:pStyle w:val="2"/>
        <w:rPr>
          <w:lang w:eastAsia="zh-CN"/>
        </w:rPr>
      </w:pPr>
      <w:bookmarkStart w:id="1" w:name="_Toc107987954"/>
      <w:bookmarkStart w:id="2" w:name="_Toc26761"/>
      <w:bookmarkStart w:id="3" w:name="_Toc142493469"/>
      <w:bookmarkStart w:id="4" w:name="_Toc108109216"/>
      <w:r>
        <w:rPr>
          <w:rFonts w:hint="eastAsia"/>
          <w:lang w:eastAsia="zh-CN"/>
        </w:rPr>
        <w:t>一、竞赛方案</w:t>
      </w:r>
      <w:bookmarkEnd w:id="1"/>
      <w:bookmarkEnd w:id="2"/>
      <w:bookmarkEnd w:id="3"/>
      <w:bookmarkEnd w:id="4"/>
    </w:p>
    <w:p>
      <w:pPr>
        <w:pStyle w:val="3"/>
        <w:rPr>
          <w:lang w:eastAsia="zh-CN"/>
        </w:rPr>
      </w:pPr>
      <w:bookmarkStart w:id="5" w:name="_Toc108109217"/>
      <w:bookmarkStart w:id="6" w:name="_Toc29119"/>
      <w:bookmarkStart w:id="7" w:name="_Toc142493470"/>
      <w:r>
        <w:rPr>
          <w:lang w:eastAsia="zh-CN"/>
        </w:rPr>
        <w:t>1赛项描述</w:t>
      </w:r>
      <w:bookmarkEnd w:id="5"/>
      <w:bookmarkEnd w:id="6"/>
      <w:bookmarkEnd w:id="7"/>
    </w:p>
    <w:p>
      <w:pPr>
        <w:pStyle w:val="4"/>
        <w:rPr>
          <w:lang w:eastAsia="zh-CN"/>
        </w:rPr>
      </w:pPr>
      <w:bookmarkStart w:id="8" w:name="_Toc4106"/>
      <w:bookmarkStart w:id="9" w:name="_Toc108109218"/>
      <w:bookmarkStart w:id="10" w:name="_Toc142493471"/>
      <w:r>
        <w:rPr>
          <w:lang w:eastAsia="zh-CN"/>
        </w:rPr>
        <w:t>1.1技术基本描述</w:t>
      </w:r>
      <w:bookmarkEnd w:id="8"/>
      <w:bookmarkEnd w:id="9"/>
      <w:bookmarkEnd w:id="10"/>
    </w:p>
    <w:p>
      <w:pPr>
        <w:autoSpaceDE/>
        <w:autoSpaceDN/>
        <w:ind w:firstLine="600"/>
        <w:rPr>
          <w:rFonts w:ascii="仿宋_GB2312" w:hAnsi="仿宋_GB2312" w:cs="仿宋_GB2312"/>
          <w:kern w:val="2"/>
          <w:sz w:val="30"/>
          <w:szCs w:val="30"/>
          <w:lang w:eastAsia="zh-CN"/>
        </w:rPr>
      </w:pPr>
      <w:bookmarkStart w:id="11" w:name="_Hlk144460052"/>
      <w:bookmarkStart w:id="12" w:name="_Hlk109215472"/>
      <w:r>
        <w:rPr>
          <w:rFonts w:hint="eastAsia" w:ascii="仿宋_GB2312" w:hAnsi="仿宋_GB2312" w:cs="仿宋_GB2312"/>
          <w:kern w:val="2"/>
          <w:sz w:val="30"/>
          <w:szCs w:val="30"/>
          <w:lang w:eastAsia="zh-CN"/>
        </w:rPr>
        <w:t>本竞赛面向</w:t>
      </w:r>
      <w:r>
        <w:rPr>
          <w:rFonts w:hint="eastAsia" w:ascii="仿宋_GB2312" w:hAnsi="仿宋_GB2312" w:cs="仿宋_GB2312"/>
          <w:szCs w:val="28"/>
          <w:lang w:eastAsia="zh-CN"/>
        </w:rPr>
        <w:t>智能制造产线电子设备装调、测试与运维，依据电子设备调试工、仪器仪表制造工的职业标准，</w:t>
      </w:r>
      <w:r>
        <w:rPr>
          <w:rFonts w:hint="eastAsia" w:ascii="仿宋_GB2312" w:hAnsi="仿宋_GB2312" w:cs="仿宋_GB2312"/>
          <w:kern w:val="2"/>
          <w:szCs w:val="28"/>
          <w:lang w:eastAsia="zh-CN"/>
        </w:rPr>
        <w:t>突出测控技术与仪器仪表在数智转型的新兴技术领域关键作用，</w:t>
      </w:r>
      <w:bookmarkStart w:id="13" w:name="_Hlk144653387"/>
      <w:r>
        <w:rPr>
          <w:rFonts w:hint="eastAsia" w:ascii="仿宋_GB2312" w:hAnsi="仿宋_GB2312" w:cs="仿宋_GB2312"/>
          <w:kern w:val="2"/>
          <w:szCs w:val="28"/>
          <w:lang w:eastAsia="zh-CN"/>
        </w:rPr>
        <w:t>选取新能源电池模组产线的视觉检测、压装、焊接、AGV运载、产品搬运、仓储管理等应用场景，</w:t>
      </w:r>
      <w:bookmarkEnd w:id="13"/>
      <w:r>
        <w:rPr>
          <w:rFonts w:ascii="仿宋_GB2312" w:hAnsi="仿宋_GB2312" w:cs="仿宋_GB2312"/>
          <w:kern w:val="2"/>
          <w:szCs w:val="28"/>
          <w:lang w:eastAsia="zh-CN"/>
        </w:rPr>
        <w:t>以完成</w:t>
      </w:r>
      <w:bookmarkStart w:id="14" w:name="_Hlk144626794"/>
      <w:r>
        <w:rPr>
          <w:rFonts w:ascii="仿宋_GB2312" w:hAnsi="仿宋_GB2312" w:cs="仿宋_GB2312"/>
          <w:kern w:val="2"/>
          <w:szCs w:val="28"/>
          <w:lang w:eastAsia="zh-CN"/>
        </w:rPr>
        <w:t>智能</w:t>
      </w:r>
      <w:r>
        <w:rPr>
          <w:rFonts w:hint="eastAsia" w:ascii="仿宋_GB2312" w:hAnsi="仿宋_GB2312" w:cs="仿宋_GB2312"/>
          <w:kern w:val="2"/>
          <w:szCs w:val="28"/>
          <w:lang w:eastAsia="zh-CN"/>
        </w:rPr>
        <w:t>制造产线电子设备</w:t>
      </w:r>
      <w:bookmarkEnd w:id="14"/>
      <w:r>
        <w:rPr>
          <w:rFonts w:hint="eastAsia" w:ascii="仿宋_GB2312" w:hAnsi="仿宋_GB2312" w:cs="仿宋_GB2312"/>
          <w:kern w:val="2"/>
          <w:szCs w:val="28"/>
          <w:lang w:eastAsia="zh-CN"/>
        </w:rPr>
        <w:t>装调、数据监测、生产管控与运维</w:t>
      </w:r>
      <w:r>
        <w:rPr>
          <w:rFonts w:ascii="仿宋_GB2312" w:hAnsi="仿宋_GB2312" w:cs="仿宋_GB2312"/>
          <w:kern w:val="2"/>
          <w:szCs w:val="28"/>
          <w:lang w:eastAsia="zh-CN"/>
        </w:rPr>
        <w:t>为实施目标，</w:t>
      </w:r>
      <w:r>
        <w:rPr>
          <w:rFonts w:hint="eastAsia" w:ascii="仿宋_GB2312" w:hAnsi="仿宋_GB2312" w:cs="仿宋_GB2312"/>
          <w:kern w:val="2"/>
          <w:szCs w:val="28"/>
          <w:lang w:eastAsia="zh-CN"/>
        </w:rPr>
        <w:t>要求完成</w:t>
      </w:r>
      <w:bookmarkStart w:id="15" w:name="_Hlk144629725"/>
      <w:r>
        <w:rPr>
          <w:rFonts w:hint="eastAsia" w:ascii="仿宋_GB2312" w:hAnsi="仿宋_GB2312" w:cs="仿宋_GB2312"/>
          <w:kern w:val="2"/>
          <w:szCs w:val="28"/>
          <w:lang w:eastAsia="zh-CN"/>
        </w:rPr>
        <w:t>电子设备</w:t>
      </w:r>
      <w:bookmarkStart w:id="16" w:name="_Hlk144626851"/>
      <w:r>
        <w:rPr>
          <w:rFonts w:hint="eastAsia" w:ascii="仿宋_GB2312" w:hAnsi="仿宋_GB2312" w:cs="仿宋_GB2312"/>
          <w:kern w:val="2"/>
          <w:szCs w:val="28"/>
          <w:lang w:eastAsia="zh-CN"/>
        </w:rPr>
        <w:t>组装与调试、设计编程与参数配置</w:t>
      </w:r>
      <w:bookmarkEnd w:id="16"/>
      <w:r>
        <w:rPr>
          <w:rFonts w:hint="eastAsia" w:ascii="仿宋_GB2312" w:hAnsi="仿宋_GB2312" w:cs="仿宋_GB2312"/>
          <w:kern w:val="2"/>
          <w:szCs w:val="28"/>
          <w:lang w:eastAsia="zh-CN"/>
        </w:rPr>
        <w:t>、数据采集与可视化应用、生产过程数智化应用、电子设备数智化运维</w:t>
      </w:r>
      <w:bookmarkEnd w:id="15"/>
      <w:r>
        <w:rPr>
          <w:rFonts w:hint="eastAsia" w:ascii="仿宋_GB2312" w:hAnsi="仿宋_GB2312" w:cs="仿宋_GB2312"/>
          <w:kern w:val="2"/>
          <w:szCs w:val="28"/>
          <w:lang w:eastAsia="zh-CN"/>
        </w:rPr>
        <w:t>等</w:t>
      </w:r>
      <w:r>
        <w:rPr>
          <w:rFonts w:ascii="仿宋_GB2312" w:hAnsi="仿宋_GB2312" w:cs="仿宋_GB2312"/>
          <w:kern w:val="2"/>
          <w:szCs w:val="28"/>
          <w:lang w:eastAsia="zh-CN"/>
        </w:rPr>
        <w:t>5</w:t>
      </w:r>
      <w:r>
        <w:rPr>
          <w:rFonts w:hint="eastAsia" w:ascii="仿宋_GB2312" w:hAnsi="仿宋_GB2312" w:cs="仿宋_GB2312"/>
          <w:kern w:val="2"/>
          <w:szCs w:val="28"/>
          <w:lang w:eastAsia="zh-CN"/>
        </w:rPr>
        <w:t>项竞赛任务，实现</w:t>
      </w:r>
      <w:bookmarkStart w:id="17" w:name="_Hlk144630574"/>
      <w:r>
        <w:rPr>
          <w:rFonts w:ascii="仿宋_GB2312" w:hAnsi="仿宋_GB2312" w:cs="仿宋_GB2312"/>
          <w:kern w:val="2"/>
          <w:szCs w:val="28"/>
          <w:lang w:eastAsia="zh-CN"/>
        </w:rPr>
        <w:t>智能</w:t>
      </w:r>
      <w:r>
        <w:rPr>
          <w:rFonts w:hint="eastAsia" w:ascii="仿宋_GB2312" w:hAnsi="仿宋_GB2312" w:cs="仿宋_GB2312"/>
          <w:kern w:val="2"/>
          <w:szCs w:val="28"/>
          <w:lang w:eastAsia="zh-CN"/>
        </w:rPr>
        <w:t>制造产线电子设备的组装调试、设计编程、参数配置、数据采集、过程监控和数智运维</w:t>
      </w:r>
      <w:bookmarkEnd w:id="17"/>
      <w:r>
        <w:rPr>
          <w:rFonts w:hint="eastAsia" w:ascii="仿宋_GB2312" w:hAnsi="仿宋_GB2312" w:cs="仿宋_GB2312"/>
          <w:kern w:val="2"/>
          <w:szCs w:val="28"/>
          <w:lang w:eastAsia="zh-CN"/>
        </w:rPr>
        <w:t>，</w:t>
      </w:r>
      <w:bookmarkStart w:id="18" w:name="_Hlk143605791"/>
      <w:r>
        <w:rPr>
          <w:rFonts w:hint="eastAsia" w:ascii="仿宋_GB2312" w:hAnsi="仿宋_GB2312" w:cs="仿宋_GB2312"/>
          <w:kern w:val="2"/>
          <w:szCs w:val="28"/>
          <w:lang w:eastAsia="zh-CN"/>
        </w:rPr>
        <w:t>综合体现数字化与智能化、数字感知与信息集成应用特色。</w:t>
      </w:r>
      <w:bookmarkEnd w:id="11"/>
      <w:bookmarkEnd w:id="18"/>
    </w:p>
    <w:p>
      <w:pPr>
        <w:ind w:firstLine="560"/>
        <w:rPr>
          <w:lang w:eastAsia="zh-CN"/>
        </w:rPr>
      </w:pPr>
      <w:r>
        <w:rPr>
          <w:lang w:eastAsia="zh-CN"/>
        </w:rPr>
        <w:t>具体任务如下：</w:t>
      </w:r>
    </w:p>
    <w:bookmarkEnd w:id="12"/>
    <w:p>
      <w:pPr>
        <w:ind w:firstLine="562"/>
        <w:rPr>
          <w:b/>
          <w:bCs/>
          <w:lang w:eastAsia="zh-CN"/>
        </w:rPr>
      </w:pPr>
      <w:bookmarkStart w:id="19" w:name="_Hlk144025133"/>
      <w:bookmarkStart w:id="20" w:name="_Toc108109219"/>
      <w:r>
        <w:rPr>
          <w:rFonts w:hint="eastAsia"/>
          <w:b/>
          <w:bCs/>
          <w:lang w:eastAsia="zh-CN"/>
        </w:rPr>
        <w:t>任务1、电子设备组装与调试（15分）</w:t>
      </w:r>
    </w:p>
    <w:bookmarkEnd w:id="19"/>
    <w:p>
      <w:pPr>
        <w:ind w:firstLine="560"/>
        <w:rPr>
          <w:lang w:eastAsia="zh-CN"/>
        </w:rPr>
      </w:pPr>
      <w:r>
        <w:rPr>
          <w:rFonts w:hint="eastAsia"/>
          <w:lang w:eastAsia="zh-CN"/>
        </w:rPr>
        <w:t>根据任务书要求，完成传感设备、网络设备、控制设备等电子设备的机电部件组装，并在竞赛平台上完成电子设备的安装部署、网络连接、参数配置和功能调试。</w:t>
      </w:r>
    </w:p>
    <w:p>
      <w:pPr>
        <w:ind w:firstLine="562"/>
        <w:rPr>
          <w:b/>
          <w:bCs/>
          <w:lang w:eastAsia="zh-CN"/>
        </w:rPr>
      </w:pPr>
      <w:r>
        <w:rPr>
          <w:rFonts w:hint="eastAsia"/>
          <w:b/>
          <w:bCs/>
          <w:lang w:eastAsia="zh-CN"/>
        </w:rPr>
        <w:t>任务2、</w:t>
      </w:r>
      <w:bookmarkStart w:id="21" w:name="_Hlk144626462"/>
      <w:r>
        <w:rPr>
          <w:rFonts w:hint="eastAsia" w:ascii="仿宋_GB2312" w:hAnsi="仿宋_GB2312" w:cs="仿宋_GB2312"/>
          <w:sz w:val="30"/>
          <w:szCs w:val="30"/>
          <w:lang w:eastAsia="zh-CN"/>
        </w:rPr>
        <w:t>设计编程与参数配置</w:t>
      </w:r>
      <w:bookmarkEnd w:id="21"/>
      <w:r>
        <w:rPr>
          <w:rFonts w:hint="eastAsia"/>
          <w:b/>
          <w:bCs/>
          <w:lang w:eastAsia="zh-CN"/>
        </w:rPr>
        <w:t>（20分）</w:t>
      </w:r>
    </w:p>
    <w:p>
      <w:pPr>
        <w:ind w:firstLine="560"/>
        <w:rPr>
          <w:lang w:eastAsia="zh-CN"/>
        </w:rPr>
      </w:pPr>
      <w:bookmarkStart w:id="22" w:name="_Hlk144578127"/>
      <w:r>
        <w:rPr>
          <w:rFonts w:hint="eastAsia"/>
          <w:lang w:eastAsia="zh-CN"/>
        </w:rPr>
        <w:t>根据任务书要求和电子设备现场监测需要，</w:t>
      </w:r>
      <w:bookmarkEnd w:id="22"/>
      <w:bookmarkStart w:id="23" w:name="_Hlk144578133"/>
      <w:r>
        <w:rPr>
          <w:rFonts w:hint="eastAsia"/>
          <w:lang w:eastAsia="zh-CN"/>
        </w:rPr>
        <w:t>完成HMI界面设计、PLC与HMI编程、电子设备参数设置，实现对电子设备的数据监测；</w:t>
      </w:r>
      <w:bookmarkEnd w:id="23"/>
      <w:r>
        <w:rPr>
          <w:rFonts w:hint="eastAsia"/>
          <w:lang w:eastAsia="zh-CN"/>
        </w:rPr>
        <w:t>根据任务书要求和电子设备现场控制需要，完成HMI界面设计、PLC与HMI编程、电子设备参数设置，实现对电子设备的自动控制。</w:t>
      </w:r>
    </w:p>
    <w:p>
      <w:pPr>
        <w:ind w:firstLine="562"/>
        <w:rPr>
          <w:b/>
          <w:bCs/>
          <w:lang w:eastAsia="zh-CN"/>
        </w:rPr>
      </w:pPr>
      <w:r>
        <w:rPr>
          <w:rFonts w:hint="eastAsia"/>
          <w:b/>
          <w:bCs/>
          <w:lang w:eastAsia="zh-CN"/>
        </w:rPr>
        <w:t>任务3、数据采集与可视化应用（20分）</w:t>
      </w:r>
    </w:p>
    <w:p>
      <w:pPr>
        <w:ind w:firstLine="560"/>
        <w:rPr>
          <w:rFonts w:cs="Times New Roman"/>
          <w:szCs w:val="24"/>
          <w:lang w:eastAsia="zh-CN"/>
        </w:rPr>
      </w:pPr>
      <w:r>
        <w:rPr>
          <w:rFonts w:hint="eastAsia" w:cs="Times New Roman"/>
          <w:szCs w:val="24"/>
          <w:lang w:eastAsia="zh-CN"/>
        </w:rPr>
        <w:t>根据任务书要求，进行工业智能网关和工业物联网平台的安装、配置、调试；完成各类不同工业网络协议的传感、控制等电子设备的数据采集；按照任务书要求，完成页面布局、数据接入、数据录入及展示等工业数据的可视化开发工作。</w:t>
      </w:r>
    </w:p>
    <w:p>
      <w:pPr>
        <w:ind w:firstLine="562"/>
        <w:rPr>
          <w:b/>
          <w:bCs/>
          <w:lang w:eastAsia="zh-CN"/>
        </w:rPr>
      </w:pPr>
      <w:r>
        <w:rPr>
          <w:rFonts w:hint="eastAsia"/>
          <w:b/>
          <w:bCs/>
          <w:lang w:eastAsia="zh-CN"/>
        </w:rPr>
        <w:t>任务4、</w:t>
      </w:r>
      <w:bookmarkStart w:id="24" w:name="_Hlk144626539"/>
      <w:r>
        <w:rPr>
          <w:rFonts w:hint="eastAsia"/>
          <w:b/>
          <w:bCs/>
          <w:lang w:eastAsia="zh-CN"/>
        </w:rPr>
        <w:t>生产过程数智化应用</w:t>
      </w:r>
      <w:bookmarkEnd w:id="24"/>
      <w:r>
        <w:rPr>
          <w:rFonts w:hint="eastAsia"/>
          <w:b/>
          <w:bCs/>
          <w:lang w:eastAsia="zh-CN"/>
        </w:rPr>
        <w:t>（20分）</w:t>
      </w:r>
    </w:p>
    <w:p>
      <w:pPr>
        <w:ind w:firstLine="560"/>
        <w:rPr>
          <w:rFonts w:cs="Times New Roman"/>
          <w:szCs w:val="24"/>
          <w:lang w:eastAsia="zh-CN"/>
        </w:rPr>
      </w:pPr>
      <w:r>
        <w:rPr>
          <w:rFonts w:hint="eastAsia" w:cs="Times New Roman"/>
          <w:szCs w:val="24"/>
          <w:lang w:eastAsia="zh-CN"/>
        </w:rPr>
        <w:t>根据任务书要求，搭建</w:t>
      </w:r>
      <w:bookmarkStart w:id="25" w:name="OLE_LINK1"/>
      <w:r>
        <w:rPr>
          <w:rFonts w:hint="eastAsia" w:cs="Times New Roman"/>
          <w:szCs w:val="24"/>
          <w:lang w:eastAsia="zh-CN"/>
        </w:rPr>
        <w:t>制造执行</w:t>
      </w:r>
      <w:bookmarkEnd w:id="25"/>
      <w:r>
        <w:rPr>
          <w:rFonts w:hint="eastAsia" w:cs="Times New Roman"/>
          <w:szCs w:val="24"/>
          <w:lang w:eastAsia="zh-CN"/>
        </w:rPr>
        <w:t>系统（MES）的运行环境，完成系统的安装、部署、调试；配置制造执行系统（MES），实现对电子设备状态、现场环境及视频的数据监控；根据制造执行系统（MES）记录的生产数据进行分析，完成生产管控建议报告。</w:t>
      </w:r>
    </w:p>
    <w:p>
      <w:pPr>
        <w:ind w:firstLine="562"/>
        <w:rPr>
          <w:b/>
          <w:bCs/>
          <w:lang w:eastAsia="zh-CN"/>
        </w:rPr>
      </w:pPr>
      <w:r>
        <w:rPr>
          <w:rFonts w:hint="eastAsia"/>
          <w:b/>
          <w:bCs/>
          <w:lang w:eastAsia="zh-CN"/>
        </w:rPr>
        <w:t>任务5、</w:t>
      </w:r>
      <w:r>
        <w:rPr>
          <w:rFonts w:hint="eastAsia" w:ascii="仿宋_GB2312" w:hAnsi="仿宋_GB2312" w:cs="仿宋_GB2312"/>
          <w:sz w:val="30"/>
          <w:szCs w:val="30"/>
          <w:lang w:eastAsia="zh-CN"/>
        </w:rPr>
        <w:t>电子设备数智化运维</w:t>
      </w:r>
      <w:r>
        <w:rPr>
          <w:rFonts w:hint="eastAsia"/>
          <w:b/>
          <w:bCs/>
          <w:lang w:eastAsia="zh-CN"/>
        </w:rPr>
        <w:t>（20分）</w:t>
      </w:r>
    </w:p>
    <w:p>
      <w:pPr>
        <w:ind w:firstLine="560"/>
        <w:rPr>
          <w:rFonts w:cs="Times New Roman"/>
          <w:szCs w:val="24"/>
          <w:lang w:eastAsia="zh-CN"/>
        </w:rPr>
      </w:pPr>
      <w:r>
        <w:rPr>
          <w:rFonts w:hint="eastAsia" w:cs="Times New Roman"/>
          <w:szCs w:val="24"/>
          <w:lang w:eastAsia="zh-CN"/>
        </w:rPr>
        <w:t>根据任务书要求，结合电子设备状态监测数据，对设备上指定模块进行故障排除，按要求写出故障解决方法并编写核心电子设备保养手册；基于智能传感器的数据观察与诊断结果，结合预测性维护等新技术，提出智能制造产线电子设备的预测性运维建议。</w:t>
      </w:r>
    </w:p>
    <w:p>
      <w:pPr>
        <w:pStyle w:val="4"/>
        <w:rPr>
          <w:lang w:eastAsia="zh-CN"/>
        </w:rPr>
      </w:pPr>
      <w:bookmarkStart w:id="26" w:name="_Toc142493472"/>
      <w:bookmarkStart w:id="27" w:name="_Toc4178"/>
      <w:r>
        <w:rPr>
          <w:lang w:eastAsia="zh-CN"/>
        </w:rPr>
        <w:t>1.2技术能力要求</w:t>
      </w:r>
      <w:bookmarkEnd w:id="20"/>
      <w:bookmarkEnd w:id="26"/>
      <w:bookmarkEnd w:id="27"/>
    </w:p>
    <w:p>
      <w:pPr>
        <w:ind w:firstLine="560"/>
        <w:rPr>
          <w:rFonts w:cs="Times New Roman"/>
          <w:sz w:val="30"/>
          <w:szCs w:val="24"/>
          <w:lang w:eastAsia="zh-CN"/>
        </w:rPr>
      </w:pPr>
      <w:r>
        <w:rPr>
          <w:rFonts w:hint="eastAsia" w:ascii="仿宋_GB2312"/>
          <w:lang w:eastAsia="zh-CN"/>
        </w:rPr>
        <w:t>本赛项强调对</w:t>
      </w:r>
      <w:r>
        <w:rPr>
          <w:rFonts w:ascii="仿宋_GB2312" w:hAnsi="仿宋_GB2312" w:cs="仿宋_GB2312"/>
          <w:kern w:val="2"/>
          <w:szCs w:val="28"/>
          <w:lang w:eastAsia="zh-CN"/>
        </w:rPr>
        <w:t>智能</w:t>
      </w:r>
      <w:r>
        <w:rPr>
          <w:rFonts w:hint="eastAsia" w:ascii="仿宋_GB2312" w:hAnsi="仿宋_GB2312" w:cs="仿宋_GB2312"/>
          <w:kern w:val="2"/>
          <w:szCs w:val="28"/>
          <w:lang w:eastAsia="zh-CN"/>
        </w:rPr>
        <w:t>制造产线电子设备的组装调试、设计编程、参数配置、数据采集、过程监控和数智运维等综合应用能力。</w:t>
      </w:r>
      <w:r>
        <w:rPr>
          <w:rFonts w:hint="eastAsia" w:ascii="仿宋_GB2312"/>
          <w:lang w:eastAsia="zh-CN"/>
        </w:rPr>
        <w:t>参赛选手应具备以下技术能力：</w:t>
      </w:r>
    </w:p>
    <w:p>
      <w:pPr>
        <w:ind w:firstLine="560"/>
        <w:rPr>
          <w:rFonts w:ascii="仿宋_GB2312"/>
          <w:lang w:eastAsia="zh-CN"/>
        </w:rPr>
      </w:pPr>
      <w:r>
        <w:rPr>
          <w:rFonts w:ascii="仿宋_GB2312"/>
          <w:lang w:eastAsia="zh-CN"/>
        </w:rPr>
        <w:t>（1）</w:t>
      </w:r>
      <w:r>
        <w:rPr>
          <w:rFonts w:hint="eastAsia" w:ascii="仿宋_GB2312"/>
          <w:lang w:eastAsia="zh-CN"/>
        </w:rPr>
        <w:t>电子设备安装调试技能</w:t>
      </w:r>
    </w:p>
    <w:p>
      <w:pPr>
        <w:ind w:firstLine="560"/>
        <w:rPr>
          <w:rFonts w:ascii="仿宋_GB2312"/>
          <w:lang w:eastAsia="zh-CN"/>
        </w:rPr>
      </w:pPr>
      <w:r>
        <w:rPr>
          <w:rFonts w:ascii="仿宋_GB2312"/>
          <w:lang w:eastAsia="zh-CN"/>
        </w:rPr>
        <w:t>（2）</w:t>
      </w:r>
      <w:r>
        <w:rPr>
          <w:rFonts w:hint="eastAsia" w:ascii="仿宋_GB2312"/>
          <w:lang w:eastAsia="zh-CN"/>
        </w:rPr>
        <w:t>工程识图技能</w:t>
      </w:r>
    </w:p>
    <w:p>
      <w:pPr>
        <w:ind w:firstLine="560"/>
        <w:rPr>
          <w:rFonts w:ascii="仿宋_GB2312"/>
          <w:lang w:eastAsia="zh-CN"/>
        </w:rPr>
      </w:pPr>
      <w:r>
        <w:rPr>
          <w:rFonts w:ascii="仿宋_GB2312"/>
          <w:lang w:eastAsia="zh-CN"/>
        </w:rPr>
        <w:t>（3）</w:t>
      </w:r>
      <w:r>
        <w:rPr>
          <w:rFonts w:hint="eastAsia" w:ascii="仿宋_GB2312"/>
          <w:lang w:eastAsia="zh-CN"/>
        </w:rPr>
        <w:t>设计、编程、调试技能</w:t>
      </w:r>
      <w:r>
        <w:rPr>
          <w:rFonts w:ascii="仿宋_GB2312"/>
          <w:lang w:eastAsia="zh-CN"/>
        </w:rPr>
        <w:t>；</w:t>
      </w:r>
    </w:p>
    <w:p>
      <w:pPr>
        <w:ind w:firstLine="560"/>
        <w:rPr>
          <w:rFonts w:ascii="仿宋_GB2312"/>
          <w:lang w:eastAsia="zh-CN"/>
        </w:rPr>
      </w:pPr>
      <w:r>
        <w:rPr>
          <w:rFonts w:ascii="仿宋_GB2312"/>
          <w:lang w:eastAsia="zh-CN"/>
        </w:rPr>
        <w:t>（</w:t>
      </w:r>
      <w:r>
        <w:rPr>
          <w:rFonts w:hint="eastAsia" w:ascii="仿宋_GB2312"/>
          <w:lang w:eastAsia="zh-CN"/>
        </w:rPr>
        <w:t>4</w:t>
      </w:r>
      <w:r>
        <w:rPr>
          <w:rFonts w:ascii="仿宋_GB2312"/>
          <w:lang w:eastAsia="zh-CN"/>
        </w:rPr>
        <w:t>）</w:t>
      </w:r>
      <w:r>
        <w:rPr>
          <w:rFonts w:hint="eastAsia" w:ascii="仿宋_GB2312"/>
          <w:lang w:eastAsia="zh-CN"/>
        </w:rPr>
        <w:t>数据采集及可视化应用技能；</w:t>
      </w:r>
    </w:p>
    <w:p>
      <w:pPr>
        <w:ind w:firstLine="560"/>
        <w:rPr>
          <w:rFonts w:ascii="仿宋_GB2312"/>
          <w:lang w:eastAsia="zh-CN"/>
        </w:rPr>
      </w:pPr>
      <w:r>
        <w:rPr>
          <w:rFonts w:ascii="仿宋_GB2312"/>
          <w:lang w:eastAsia="zh-CN"/>
        </w:rPr>
        <w:t>（</w:t>
      </w:r>
      <w:r>
        <w:rPr>
          <w:rFonts w:hint="eastAsia" w:ascii="仿宋_GB2312"/>
          <w:lang w:eastAsia="zh-CN"/>
        </w:rPr>
        <w:t>5</w:t>
      </w:r>
      <w:r>
        <w:rPr>
          <w:rFonts w:ascii="仿宋_GB2312"/>
          <w:lang w:eastAsia="zh-CN"/>
        </w:rPr>
        <w:t>）</w:t>
      </w:r>
      <w:r>
        <w:rPr>
          <w:rFonts w:hint="eastAsia" w:ascii="仿宋_GB2312"/>
          <w:lang w:eastAsia="zh-CN"/>
        </w:rPr>
        <w:t>制造执行系统（MES）集成应用</w:t>
      </w:r>
      <w:r>
        <w:rPr>
          <w:rFonts w:ascii="仿宋_GB2312"/>
          <w:lang w:eastAsia="zh-CN"/>
        </w:rPr>
        <w:t>技能；</w:t>
      </w:r>
    </w:p>
    <w:p>
      <w:pPr>
        <w:ind w:firstLine="560"/>
        <w:rPr>
          <w:rFonts w:ascii="仿宋_GB2312"/>
          <w:lang w:eastAsia="zh-CN"/>
        </w:rPr>
      </w:pPr>
      <w:r>
        <w:rPr>
          <w:rFonts w:ascii="仿宋_GB2312"/>
          <w:lang w:eastAsia="zh-CN"/>
        </w:rPr>
        <w:t>（</w:t>
      </w:r>
      <w:r>
        <w:rPr>
          <w:rFonts w:hint="eastAsia" w:ascii="仿宋_GB2312"/>
          <w:lang w:eastAsia="zh-CN"/>
        </w:rPr>
        <w:t>6</w:t>
      </w:r>
      <w:r>
        <w:rPr>
          <w:rFonts w:ascii="仿宋_GB2312"/>
          <w:lang w:eastAsia="zh-CN"/>
        </w:rPr>
        <w:t>）</w:t>
      </w:r>
      <w:r>
        <w:rPr>
          <w:rFonts w:hint="eastAsia" w:ascii="仿宋_GB2312"/>
          <w:lang w:eastAsia="zh-CN"/>
        </w:rPr>
        <w:t>工业数智化运维、排故</w:t>
      </w:r>
      <w:r>
        <w:rPr>
          <w:rFonts w:ascii="仿宋_GB2312"/>
          <w:lang w:eastAsia="zh-CN"/>
        </w:rPr>
        <w:t>技能；</w:t>
      </w:r>
    </w:p>
    <w:p>
      <w:pPr>
        <w:ind w:firstLine="560"/>
        <w:rPr>
          <w:rFonts w:ascii="仿宋_GB2312"/>
          <w:lang w:eastAsia="zh-CN"/>
        </w:rPr>
      </w:pPr>
      <w:r>
        <w:rPr>
          <w:rFonts w:hint="eastAsia" w:ascii="仿宋_GB2312"/>
          <w:lang w:eastAsia="zh-CN"/>
        </w:rPr>
        <w:t>（7）</w:t>
      </w:r>
      <w:r>
        <w:rPr>
          <w:rFonts w:ascii="仿宋_GB2312"/>
          <w:lang w:eastAsia="zh-CN"/>
        </w:rPr>
        <w:t>安全防护技能</w:t>
      </w:r>
      <w:r>
        <w:rPr>
          <w:rFonts w:hint="eastAsia" w:ascii="仿宋_GB2312"/>
          <w:lang w:eastAsia="zh-CN"/>
        </w:rPr>
        <w:t>；</w:t>
      </w:r>
    </w:p>
    <w:p>
      <w:pPr>
        <w:ind w:firstLine="560"/>
        <w:rPr>
          <w:rFonts w:ascii="仿宋_GB2312"/>
          <w:lang w:eastAsia="zh-CN"/>
        </w:rPr>
      </w:pPr>
      <w:r>
        <w:rPr>
          <w:rFonts w:ascii="仿宋_GB2312"/>
          <w:lang w:eastAsia="zh-CN"/>
        </w:rPr>
        <w:t>（</w:t>
      </w:r>
      <w:r>
        <w:rPr>
          <w:rFonts w:hint="eastAsia" w:ascii="仿宋_GB2312"/>
          <w:lang w:eastAsia="zh-CN"/>
        </w:rPr>
        <w:t>8</w:t>
      </w:r>
      <w:r>
        <w:rPr>
          <w:rFonts w:ascii="仿宋_GB2312"/>
          <w:lang w:eastAsia="zh-CN"/>
        </w:rPr>
        <w:t>）</w:t>
      </w:r>
      <w:r>
        <w:rPr>
          <w:rFonts w:hint="eastAsia" w:ascii="仿宋_GB2312"/>
          <w:lang w:eastAsia="zh-CN"/>
        </w:rPr>
        <w:t>虚拟仿真智能产线调试应用技能</w:t>
      </w:r>
      <w:r>
        <w:rPr>
          <w:rFonts w:ascii="仿宋_GB2312"/>
          <w:lang w:eastAsia="zh-CN"/>
        </w:rPr>
        <w:t>。</w:t>
      </w:r>
    </w:p>
    <w:p>
      <w:pPr>
        <w:pStyle w:val="4"/>
        <w:rPr>
          <w:lang w:eastAsia="zh-CN"/>
        </w:rPr>
      </w:pPr>
      <w:bookmarkStart w:id="28" w:name="_Toc9012"/>
      <w:bookmarkStart w:id="29" w:name="_Toc142493473"/>
      <w:bookmarkStart w:id="30" w:name="_Toc108109220"/>
      <w:r>
        <w:rPr>
          <w:lang w:eastAsia="zh-CN"/>
        </w:rPr>
        <w:t>1.3基本知识要求</w:t>
      </w:r>
      <w:bookmarkEnd w:id="28"/>
      <w:bookmarkEnd w:id="29"/>
      <w:bookmarkEnd w:id="30"/>
    </w:p>
    <w:p>
      <w:pPr>
        <w:ind w:firstLine="560"/>
        <w:rPr>
          <w:rFonts w:cs="Times New Roman"/>
          <w:szCs w:val="24"/>
          <w:lang w:eastAsia="zh-CN"/>
        </w:rPr>
      </w:pPr>
      <w:r>
        <w:rPr>
          <w:rFonts w:cs="Times New Roman"/>
          <w:szCs w:val="24"/>
          <w:lang w:eastAsia="zh-CN"/>
        </w:rPr>
        <w:t>本赛项旨在考核、培养多技能、多用途、多就业面的</w:t>
      </w:r>
      <w:r>
        <w:rPr>
          <w:rFonts w:hint="eastAsia" w:cs="Times New Roman"/>
          <w:szCs w:val="24"/>
          <w:lang w:eastAsia="zh-CN"/>
        </w:rPr>
        <w:t>智能制造电子设备调试技术人才</w:t>
      </w:r>
      <w:r>
        <w:rPr>
          <w:rFonts w:cs="Times New Roman"/>
          <w:szCs w:val="24"/>
          <w:lang w:eastAsia="zh-CN"/>
        </w:rPr>
        <w:t>，需要掌握以下相关知识：</w:t>
      </w:r>
    </w:p>
    <w:p>
      <w:pPr>
        <w:ind w:firstLine="560"/>
        <w:rPr>
          <w:rFonts w:ascii="仿宋_GB2312" w:cs="Times New Roman"/>
          <w:szCs w:val="24"/>
          <w:lang w:eastAsia="zh-CN"/>
        </w:rPr>
      </w:pPr>
      <w:r>
        <w:rPr>
          <w:rFonts w:hint="eastAsia" w:ascii="仿宋_GB2312" w:cs="Times New Roman"/>
          <w:szCs w:val="24"/>
          <w:lang w:eastAsia="zh-CN"/>
        </w:rPr>
        <w:t>（1）设备装调：传感器、自动控制系统、工业网络等设备器件安装与调试等知识。</w:t>
      </w:r>
    </w:p>
    <w:p>
      <w:pPr>
        <w:ind w:firstLine="560"/>
        <w:rPr>
          <w:rFonts w:ascii="仿宋_GB2312" w:cs="Times New Roman"/>
          <w:szCs w:val="24"/>
          <w:lang w:eastAsia="zh-CN"/>
        </w:rPr>
      </w:pPr>
      <w:r>
        <w:rPr>
          <w:rFonts w:hint="eastAsia" w:ascii="仿宋_GB2312" w:cs="Times New Roman"/>
          <w:szCs w:val="24"/>
          <w:lang w:eastAsia="zh-CN"/>
        </w:rPr>
        <w:t>（2）工程识图：电气原理图、机柜装配图、工艺流程图等工程图纸知识。</w:t>
      </w:r>
    </w:p>
    <w:p>
      <w:pPr>
        <w:ind w:firstLine="560"/>
        <w:rPr>
          <w:rFonts w:ascii="仿宋_GB2312" w:cs="Times New Roman"/>
          <w:szCs w:val="24"/>
          <w:lang w:eastAsia="zh-CN"/>
        </w:rPr>
      </w:pPr>
      <w:r>
        <w:rPr>
          <w:rFonts w:hint="eastAsia" w:ascii="仿宋_GB2312" w:cs="Times New Roman"/>
          <w:szCs w:val="24"/>
          <w:lang w:eastAsia="zh-CN"/>
        </w:rPr>
        <w:t>（3）软件编程：PLC软件组态与编程、功能和操作；数据库、系统架构，数据看板相关软件等知识。</w:t>
      </w:r>
    </w:p>
    <w:p>
      <w:pPr>
        <w:ind w:firstLine="560"/>
        <w:rPr>
          <w:rFonts w:ascii="仿宋_GB2312" w:cs="Times New Roman"/>
          <w:szCs w:val="24"/>
          <w:lang w:eastAsia="zh-CN"/>
        </w:rPr>
      </w:pPr>
      <w:r>
        <w:rPr>
          <w:rFonts w:hint="eastAsia" w:ascii="仿宋_GB2312" w:cs="Times New Roman"/>
          <w:szCs w:val="24"/>
          <w:lang w:eastAsia="zh-CN"/>
        </w:rPr>
        <w:t>（4）工业数据采集：工业数据类型、MQTT、OPCUA、工业网关、工业物联网、数据可视化等知识。</w:t>
      </w:r>
    </w:p>
    <w:p>
      <w:pPr>
        <w:ind w:firstLine="560"/>
        <w:rPr>
          <w:rFonts w:ascii="仿宋_GB2312" w:cs="Times New Roman"/>
          <w:szCs w:val="24"/>
          <w:lang w:eastAsia="zh-CN"/>
        </w:rPr>
      </w:pPr>
      <w:r>
        <w:rPr>
          <w:rFonts w:hint="eastAsia" w:ascii="仿宋_GB2312" w:cs="Times New Roman"/>
          <w:szCs w:val="24"/>
          <w:lang w:eastAsia="zh-CN"/>
        </w:rPr>
        <w:t>（5）工业数智化技术：工业互联网、制造执行系统（MES）、设备预测性维护、虚拟仿真数智化产线等知识。</w:t>
      </w:r>
    </w:p>
    <w:p>
      <w:pPr>
        <w:ind w:firstLine="560"/>
        <w:rPr>
          <w:rFonts w:ascii="仿宋_GB2312" w:cs="Times New Roman"/>
          <w:szCs w:val="24"/>
          <w:lang w:eastAsia="zh-CN"/>
        </w:rPr>
      </w:pPr>
      <w:r>
        <w:rPr>
          <w:rFonts w:hint="eastAsia" w:ascii="仿宋_GB2312" w:cs="Times New Roman"/>
          <w:szCs w:val="24"/>
          <w:lang w:eastAsia="zh-CN"/>
        </w:rPr>
        <w:t>（6）数字化工厂、智能制造产线等知识。</w:t>
      </w:r>
    </w:p>
    <w:p>
      <w:pPr>
        <w:ind w:firstLine="560"/>
        <w:rPr>
          <w:rFonts w:ascii="仿宋_GB2312" w:cs="Times New Roman"/>
          <w:szCs w:val="24"/>
          <w:lang w:eastAsia="zh-CN"/>
        </w:rPr>
      </w:pPr>
      <w:r>
        <w:rPr>
          <w:rFonts w:hint="eastAsia" w:ascii="仿宋_GB2312" w:cs="Times New Roman"/>
          <w:szCs w:val="24"/>
          <w:lang w:eastAsia="zh-CN"/>
        </w:rPr>
        <w:t>（7）安全文明生产与环境保护知识、职业道德基本知识。</w:t>
      </w:r>
    </w:p>
    <w:p>
      <w:pPr>
        <w:ind w:firstLine="560"/>
        <w:rPr>
          <w:rFonts w:ascii="仿宋_GB2312" w:cs="Times New Roman"/>
          <w:szCs w:val="24"/>
          <w:lang w:eastAsia="zh-CN"/>
        </w:rPr>
      </w:pPr>
      <w:r>
        <w:rPr>
          <w:rFonts w:ascii="仿宋_GB2312" w:cs="Times New Roman"/>
          <w:szCs w:val="24"/>
          <w:lang w:eastAsia="zh-CN"/>
        </w:rPr>
        <w:t>（</w:t>
      </w:r>
      <w:r>
        <w:rPr>
          <w:rFonts w:hint="eastAsia" w:ascii="仿宋_GB2312" w:cs="Times New Roman"/>
          <w:szCs w:val="24"/>
          <w:lang w:eastAsia="zh-CN"/>
        </w:rPr>
        <w:t>8</w:t>
      </w:r>
      <w:r>
        <w:rPr>
          <w:rFonts w:ascii="仿宋_GB2312" w:cs="Times New Roman"/>
          <w:szCs w:val="24"/>
          <w:lang w:eastAsia="zh-CN"/>
        </w:rPr>
        <w:t>）其他相关新技术、新工艺、新设备等</w:t>
      </w:r>
      <w:r>
        <w:rPr>
          <w:rFonts w:hint="eastAsia" w:ascii="仿宋_GB2312" w:cs="Times New Roman"/>
          <w:szCs w:val="24"/>
          <w:lang w:eastAsia="zh-CN"/>
        </w:rPr>
        <w:t>知识</w:t>
      </w:r>
      <w:r>
        <w:rPr>
          <w:rFonts w:ascii="仿宋_GB2312" w:cs="Times New Roman"/>
          <w:szCs w:val="24"/>
          <w:lang w:eastAsia="zh-CN"/>
        </w:rPr>
        <w:t>。</w:t>
      </w:r>
    </w:p>
    <w:p>
      <w:pPr>
        <w:pStyle w:val="4"/>
        <w:rPr>
          <w:b w:val="0"/>
          <w:bCs w:val="0"/>
          <w:lang w:eastAsia="zh-CN"/>
        </w:rPr>
      </w:pPr>
      <w:bookmarkStart w:id="31" w:name="_Toc32720"/>
      <w:bookmarkStart w:id="32" w:name="_Toc108109221"/>
      <w:bookmarkStart w:id="33" w:name="_Toc142493474"/>
      <w:r>
        <w:rPr>
          <w:b w:val="0"/>
          <w:bCs w:val="0"/>
          <w:lang w:eastAsia="zh-CN"/>
        </w:rPr>
        <w:t>1.4职业素养与安全要求</w:t>
      </w:r>
      <w:bookmarkEnd w:id="31"/>
      <w:bookmarkEnd w:id="32"/>
      <w:bookmarkEnd w:id="33"/>
    </w:p>
    <w:p>
      <w:pPr>
        <w:ind w:firstLine="560"/>
        <w:rPr>
          <w:rFonts w:cs="Times New Roman"/>
          <w:szCs w:val="24"/>
          <w:lang w:eastAsia="zh-CN"/>
        </w:rPr>
      </w:pPr>
      <w:r>
        <w:rPr>
          <w:rFonts w:cs="Times New Roman"/>
          <w:szCs w:val="24"/>
          <w:lang w:eastAsia="zh-CN"/>
        </w:rPr>
        <w:t>严格遵循相关职业素养要求及安全规范，安全文明参赛；操作规范；工具摆放整齐；着装规范；资料归档完整等。严格防止电路短路、生产失控造成人身伤害。</w:t>
      </w:r>
    </w:p>
    <w:p>
      <w:pPr>
        <w:pStyle w:val="4"/>
        <w:rPr>
          <w:lang w:eastAsia="zh-CN"/>
        </w:rPr>
      </w:pPr>
      <w:bookmarkStart w:id="34" w:name="_Toc30945"/>
      <w:bookmarkStart w:id="35" w:name="_Toc142493475"/>
      <w:bookmarkStart w:id="36" w:name="_Toc108109222"/>
      <w:r>
        <w:rPr>
          <w:rFonts w:hint="eastAsia"/>
          <w:lang w:eastAsia="zh-CN"/>
        </w:rPr>
        <w:t>1.5赛项组织形式</w:t>
      </w:r>
      <w:bookmarkEnd w:id="34"/>
      <w:bookmarkEnd w:id="35"/>
      <w:bookmarkEnd w:id="36"/>
    </w:p>
    <w:p>
      <w:pPr>
        <w:ind w:firstLine="560"/>
        <w:rPr>
          <w:rFonts w:cs="Times New Roman"/>
          <w:szCs w:val="24"/>
          <w:lang w:eastAsia="zh-CN"/>
        </w:rPr>
      </w:pPr>
      <w:r>
        <w:rPr>
          <w:rFonts w:hint="eastAsia" w:cs="Times New Roman"/>
          <w:szCs w:val="24"/>
          <w:lang w:eastAsia="zh-CN"/>
        </w:rPr>
        <w:t>本赛项的最终组织形式为线下模式，具体将依据外部环境变化情况确定。</w:t>
      </w:r>
    </w:p>
    <w:p>
      <w:pPr>
        <w:pStyle w:val="3"/>
        <w:rPr>
          <w:lang w:eastAsia="zh-CN"/>
        </w:rPr>
      </w:pPr>
      <w:bookmarkStart w:id="37" w:name="_Toc13552"/>
      <w:bookmarkStart w:id="38" w:name="_Toc142493476"/>
      <w:bookmarkStart w:id="39" w:name="_Toc108109223"/>
      <w:r>
        <w:rPr>
          <w:lang w:eastAsia="zh-CN"/>
        </w:rPr>
        <w:t>2竞赛题目</w:t>
      </w:r>
      <w:bookmarkEnd w:id="37"/>
      <w:bookmarkEnd w:id="38"/>
      <w:bookmarkEnd w:id="39"/>
    </w:p>
    <w:p>
      <w:pPr>
        <w:pStyle w:val="4"/>
        <w:rPr>
          <w:lang w:eastAsia="zh-CN"/>
        </w:rPr>
      </w:pPr>
      <w:bookmarkStart w:id="40" w:name="_Toc20266"/>
      <w:bookmarkStart w:id="41" w:name="_Toc142493477"/>
      <w:bookmarkStart w:id="42" w:name="_Toc108109224"/>
      <w:r>
        <w:rPr>
          <w:lang w:eastAsia="zh-CN"/>
        </w:rPr>
        <w:t>2.1竞赛形式</w:t>
      </w:r>
      <w:bookmarkEnd w:id="40"/>
      <w:bookmarkEnd w:id="41"/>
      <w:bookmarkEnd w:id="42"/>
    </w:p>
    <w:p>
      <w:pPr>
        <w:ind w:firstLine="560"/>
        <w:rPr>
          <w:rFonts w:ascii="仿宋_GB2312" w:cs="Times New Roman"/>
          <w:szCs w:val="24"/>
          <w:lang w:eastAsia="zh-CN"/>
        </w:rPr>
      </w:pPr>
      <w:r>
        <w:rPr>
          <w:rFonts w:ascii="仿宋_GB2312" w:cs="Times New Roman"/>
          <w:szCs w:val="24"/>
          <w:lang w:eastAsia="zh-CN"/>
        </w:rPr>
        <w:t>本赛项由理论知识竞赛和实际操作竞赛两部分组成。理论知识竞赛和实际操作竞赛的总成绩为100分，其中理论知识竞赛占总成绩的20%，实际操作竞赛占总成绩的80%。</w:t>
      </w:r>
    </w:p>
    <w:p>
      <w:pPr>
        <w:ind w:firstLine="560"/>
        <w:rPr>
          <w:rFonts w:cs="Times New Roman"/>
          <w:szCs w:val="24"/>
          <w:lang w:eastAsia="zh-CN"/>
        </w:rPr>
      </w:pPr>
      <w:r>
        <w:rPr>
          <w:rFonts w:hint="eastAsia" w:cs="Times New Roman"/>
          <w:szCs w:val="24"/>
          <w:lang w:eastAsia="zh-CN"/>
        </w:rPr>
        <w:t>理论知识竞赛规程另行制定，本竞赛规程主要对实际操作竞赛作出技术工作规范。</w:t>
      </w:r>
    </w:p>
    <w:p>
      <w:pPr>
        <w:pStyle w:val="4"/>
        <w:rPr>
          <w:lang w:eastAsia="zh-CN"/>
        </w:rPr>
      </w:pPr>
      <w:bookmarkStart w:id="43" w:name="_Toc142493478"/>
      <w:bookmarkStart w:id="44" w:name="_Toc2234"/>
      <w:r>
        <w:rPr>
          <w:rFonts w:hint="eastAsia"/>
          <w:lang w:eastAsia="zh-CN"/>
        </w:rPr>
        <w:t>2.2竞赛分组</w:t>
      </w:r>
      <w:bookmarkEnd w:id="43"/>
      <w:bookmarkEnd w:id="44"/>
    </w:p>
    <w:p>
      <w:pPr>
        <w:ind w:firstLine="560"/>
        <w:rPr>
          <w:rFonts w:ascii="仿宋_GB2312" w:cs="Times New Roman"/>
          <w:szCs w:val="24"/>
          <w:lang w:eastAsia="zh-CN"/>
        </w:rPr>
      </w:pPr>
      <w:r>
        <w:rPr>
          <w:rFonts w:hint="eastAsia" w:ascii="仿宋_GB2312" w:cs="Times New Roman"/>
          <w:szCs w:val="24"/>
          <w:lang w:eastAsia="zh-CN"/>
        </w:rPr>
        <w:t>本次竞赛为</w:t>
      </w:r>
      <w:r>
        <w:rPr>
          <w:rFonts w:hint="eastAsia" w:ascii="仿宋_GB2312" w:cs="Times New Roman"/>
          <w:szCs w:val="24"/>
          <w:lang w:val="en-US" w:eastAsia="zh-CN"/>
        </w:rPr>
        <w:t>单</w:t>
      </w:r>
      <w:r>
        <w:rPr>
          <w:rFonts w:hint="eastAsia" w:ascii="仿宋_GB2312" w:cs="Times New Roman"/>
          <w:szCs w:val="24"/>
          <w:lang w:eastAsia="zh-CN"/>
        </w:rPr>
        <w:t>人赛，分为职工组和学生组。</w:t>
      </w:r>
    </w:p>
    <w:p>
      <w:pPr>
        <w:ind w:firstLine="560"/>
        <w:rPr>
          <w:rFonts w:ascii="仿宋_GB2312" w:cs="Times New Roman"/>
          <w:szCs w:val="24"/>
          <w:lang w:eastAsia="zh-CN"/>
        </w:rPr>
      </w:pPr>
      <w:r>
        <w:rPr>
          <w:rFonts w:hint="eastAsia" w:ascii="仿宋_GB2312" w:cs="Times New Roman"/>
          <w:szCs w:val="24"/>
          <w:lang w:eastAsia="zh-CN"/>
        </w:rPr>
        <w:t>凡从事相关专业或职业的企业职工、院校教师、职业院校（含技工院校）在籍学生均可报名参加本次比赛。具体报名通知另行发布。</w:t>
      </w:r>
    </w:p>
    <w:p>
      <w:pPr>
        <w:pStyle w:val="4"/>
        <w:rPr>
          <w:lang w:eastAsia="zh-CN"/>
        </w:rPr>
      </w:pPr>
      <w:bookmarkStart w:id="45" w:name="_Toc10496"/>
      <w:bookmarkStart w:id="46" w:name="_Toc108109225"/>
      <w:bookmarkStart w:id="47" w:name="_Toc142493479"/>
      <w:r>
        <w:rPr>
          <w:lang w:eastAsia="zh-CN"/>
        </w:rPr>
        <w:t>2.</w:t>
      </w:r>
      <w:r>
        <w:rPr>
          <w:rFonts w:hint="eastAsia"/>
          <w:lang w:eastAsia="zh-CN"/>
        </w:rPr>
        <w:t>3</w:t>
      </w:r>
      <w:r>
        <w:rPr>
          <w:lang w:eastAsia="zh-CN"/>
        </w:rPr>
        <w:t>命题标准</w:t>
      </w:r>
      <w:bookmarkEnd w:id="45"/>
      <w:bookmarkEnd w:id="46"/>
      <w:bookmarkEnd w:id="47"/>
    </w:p>
    <w:p>
      <w:pPr>
        <w:ind w:firstLine="560"/>
        <w:rPr>
          <w:rFonts w:ascii="仿宋_GB2312" w:hAnsi="仿宋_GB2312" w:cs="仿宋_GB2312"/>
          <w:kern w:val="2"/>
          <w:szCs w:val="28"/>
          <w:lang w:eastAsia="zh-CN"/>
        </w:rPr>
      </w:pPr>
      <w:r>
        <w:rPr>
          <w:rFonts w:ascii="仿宋_GB2312" w:cs="Times New Roman"/>
          <w:szCs w:val="28"/>
          <w:lang w:eastAsia="zh-CN"/>
        </w:rPr>
        <w:t>本赛项重点考察选手</w:t>
      </w:r>
      <w:r>
        <w:rPr>
          <w:rFonts w:hint="eastAsia" w:ascii="仿宋_GB2312" w:hAnsi="仿宋_GB2312" w:cs="仿宋_GB2312"/>
          <w:kern w:val="2"/>
          <w:szCs w:val="28"/>
          <w:lang w:eastAsia="zh-CN"/>
        </w:rPr>
        <w:t>使用</w:t>
      </w:r>
      <w:bookmarkStart w:id="48" w:name="_Hlk144651134"/>
      <w:r>
        <w:rPr>
          <w:rFonts w:hint="eastAsia" w:ascii="仿宋_GB2312" w:hAnsi="仿宋_GB2312" w:cs="仿宋_GB2312"/>
          <w:kern w:val="2"/>
          <w:szCs w:val="28"/>
          <w:lang w:eastAsia="zh-CN"/>
        </w:rPr>
        <w:t>电子设备调试工（系统测试与运维方向）竞赛平台</w:t>
      </w:r>
      <w:bookmarkEnd w:id="48"/>
      <w:r>
        <w:rPr>
          <w:rFonts w:hint="eastAsia" w:ascii="仿宋_GB2312" w:hAnsi="仿宋_GB2312" w:cs="仿宋_GB2312"/>
          <w:kern w:val="2"/>
          <w:szCs w:val="28"/>
          <w:lang w:eastAsia="zh-CN"/>
        </w:rPr>
        <w:t>完成</w:t>
      </w:r>
      <w:bookmarkStart w:id="49" w:name="_Hlk82418242"/>
      <w:r>
        <w:rPr>
          <w:rFonts w:hint="eastAsia" w:ascii="仿宋_GB2312" w:hAnsi="仿宋_GB2312" w:cs="仿宋_GB2312"/>
          <w:kern w:val="2"/>
          <w:szCs w:val="28"/>
          <w:lang w:eastAsia="zh-CN"/>
        </w:rPr>
        <w:t>电子设备组装与调试、软件编程与参数配置、数据采集与可视化应用、生产过程数智化应用、电子设备数智化运维</w:t>
      </w:r>
      <w:r>
        <w:rPr>
          <w:rFonts w:cs="Times New Roman"/>
          <w:szCs w:val="28"/>
          <w:lang w:eastAsia="zh-CN"/>
        </w:rPr>
        <w:t>的能力，以及</w:t>
      </w:r>
      <w:r>
        <w:rPr>
          <w:rFonts w:hint="eastAsia" w:ascii="仿宋_GB2312" w:hAnsi="仿宋_GB2312" w:cs="仿宋_GB2312"/>
          <w:kern w:val="2"/>
          <w:szCs w:val="28"/>
          <w:lang w:eastAsia="zh-CN"/>
        </w:rPr>
        <w:t>职业素养与安全意识</w:t>
      </w:r>
      <w:bookmarkEnd w:id="49"/>
      <w:r>
        <w:rPr>
          <w:rFonts w:cs="Times New Roman"/>
          <w:szCs w:val="28"/>
          <w:lang w:eastAsia="zh-CN"/>
        </w:rPr>
        <w:t>，突出企业所需专业技能及新技术应用，体现</w:t>
      </w:r>
      <w:r>
        <w:rPr>
          <w:rFonts w:hint="eastAsia" w:cs="Times New Roman"/>
          <w:szCs w:val="28"/>
          <w:lang w:eastAsia="zh-CN"/>
        </w:rPr>
        <w:t>电子设备装调技术、自动化技术、工业互联网技术相结合的原则</w:t>
      </w:r>
      <w:r>
        <w:rPr>
          <w:rFonts w:cs="Times New Roman"/>
          <w:szCs w:val="28"/>
          <w:lang w:eastAsia="zh-CN"/>
        </w:rPr>
        <w:t>，突出职业能力考核及工匠精神。</w:t>
      </w:r>
    </w:p>
    <w:p>
      <w:pPr>
        <w:ind w:firstLine="560"/>
        <w:rPr>
          <w:rFonts w:ascii="仿宋_GB2312" w:cs="Times New Roman"/>
          <w:szCs w:val="24"/>
          <w:lang w:eastAsia="zh-CN"/>
        </w:rPr>
      </w:pPr>
      <w:r>
        <w:rPr>
          <w:rFonts w:hint="eastAsia" w:ascii="仿宋_GB2312" w:cs="Times New Roman"/>
          <w:szCs w:val="24"/>
          <w:lang w:eastAsia="zh-CN"/>
        </w:rPr>
        <w:t>大赛全国组委会技术工作委员会组织有关专家主要参照中华人民共和国人力资源和社会保障部制定的《电子设备调试工》、《仪器仪表制造工》国家职业技能标准(职业编码：6-25-04-08、6-26-01-01)关于高级工及技师部分应知应会的知识与技能，结合企业生产、院校教学实际和仪器仪表与智能传感技术应用状况，借鉴世界技能大赛命题和考核评价方法确定考核内容，组织统一命题</w:t>
      </w:r>
      <w:r>
        <w:rPr>
          <w:rFonts w:ascii="仿宋_GB2312" w:cs="Times New Roman"/>
          <w:szCs w:val="24"/>
          <w:lang w:eastAsia="zh-CN"/>
        </w:rPr>
        <w:t>。</w:t>
      </w:r>
    </w:p>
    <w:p>
      <w:pPr>
        <w:pStyle w:val="4"/>
        <w:rPr>
          <w:lang w:eastAsia="zh-CN"/>
        </w:rPr>
      </w:pPr>
      <w:bookmarkStart w:id="50" w:name="_Toc108109226"/>
      <w:bookmarkStart w:id="51" w:name="_Toc28730"/>
      <w:bookmarkStart w:id="52" w:name="_Toc142493480"/>
      <w:r>
        <w:rPr>
          <w:lang w:eastAsia="zh-CN"/>
        </w:rPr>
        <w:t>2.</w:t>
      </w:r>
      <w:r>
        <w:rPr>
          <w:rFonts w:hint="eastAsia"/>
          <w:lang w:eastAsia="zh-CN"/>
        </w:rPr>
        <w:t>4</w:t>
      </w:r>
      <w:r>
        <w:rPr>
          <w:lang w:eastAsia="zh-CN"/>
        </w:rPr>
        <w:t>命题内容</w:t>
      </w:r>
      <w:bookmarkEnd w:id="50"/>
      <w:bookmarkEnd w:id="51"/>
      <w:bookmarkEnd w:id="52"/>
    </w:p>
    <w:p>
      <w:pPr>
        <w:ind w:firstLine="560"/>
        <w:rPr>
          <w:rFonts w:cs="Times New Roman"/>
          <w:szCs w:val="24"/>
          <w:lang w:eastAsia="zh-CN"/>
        </w:rPr>
      </w:pPr>
      <w:r>
        <w:rPr>
          <w:rFonts w:hint="eastAsia" w:cs="Times New Roman"/>
          <w:szCs w:val="24"/>
          <w:lang w:eastAsia="zh-CN"/>
        </w:rPr>
        <w:t>根据任务书给定的任务要求和现场提供的电子设备调试工（系统测试与运维方向）竞赛平台、虚拟仿真数智化产线、智能仪器仪表、传感器、工业物联网、制造执行系统及配套设备等，要求选手在规定时间内完成</w:t>
      </w:r>
      <w:r>
        <w:rPr>
          <w:rFonts w:hint="eastAsia" w:ascii="仿宋_GB2312" w:hAnsi="仿宋_GB2312" w:cs="仿宋_GB2312"/>
          <w:kern w:val="2"/>
          <w:szCs w:val="28"/>
          <w:lang w:eastAsia="zh-CN"/>
        </w:rPr>
        <w:t>电子设备组装与调试、设计编程与参数配置、数据采集与可视化应用、生产过程数智化应用、电子设备数智化运维</w:t>
      </w:r>
      <w:r>
        <w:rPr>
          <w:rFonts w:hint="eastAsia" w:cs="Times New Roman"/>
          <w:szCs w:val="24"/>
          <w:lang w:eastAsia="zh-CN"/>
        </w:rPr>
        <w:t>及职业素养与安全意识等。</w:t>
      </w:r>
      <w:r>
        <w:rPr>
          <w:rFonts w:cs="Times New Roman"/>
          <w:szCs w:val="24"/>
          <w:lang w:eastAsia="zh-CN"/>
        </w:rPr>
        <w:t>竞赛任务设计见表1。</w:t>
      </w:r>
    </w:p>
    <w:p>
      <w:pPr>
        <w:pStyle w:val="21"/>
      </w:pPr>
      <w:r>
        <w:t>表</w:t>
      </w:r>
      <w:r>
        <w:fldChar w:fldCharType="begin"/>
      </w:r>
      <w:r>
        <w:instrText xml:space="preserve"> SEQ 表 \* ARABIC </w:instrText>
      </w:r>
      <w:r>
        <w:fldChar w:fldCharType="separate"/>
      </w:r>
      <w:r>
        <w:t>1</w:t>
      </w:r>
      <w:r>
        <w:fldChar w:fldCharType="end"/>
      </w:r>
      <w:r>
        <w:t>竞赛任务设计</w:t>
      </w:r>
    </w:p>
    <w:tbl>
      <w:tblPr>
        <w:tblStyle w:val="15"/>
        <w:tblW w:w="8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850"/>
        <w:gridCol w:w="53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widowControl/>
              <w:autoSpaceDE/>
              <w:autoSpaceDN/>
              <w:spacing w:line="240" w:lineRule="auto"/>
              <w:ind w:firstLine="0" w:firstLineChars="0"/>
              <w:rPr>
                <w:rFonts w:ascii="仿宋_GB2312" w:hAnsi="仿宋_GB2312" w:cs="仿宋_GB2312"/>
                <w:b/>
                <w:bCs/>
                <w:kern w:val="2"/>
                <w:sz w:val="24"/>
                <w:lang w:eastAsia="zh-CN"/>
              </w:rPr>
            </w:pPr>
            <w:r>
              <w:rPr>
                <w:rFonts w:hint="eastAsia" w:ascii="仿宋_GB2312" w:hAnsi="仿宋_GB2312" w:cs="仿宋_GB2312"/>
                <w:b/>
                <w:bCs/>
                <w:kern w:val="2"/>
                <w:sz w:val="24"/>
                <w:lang w:eastAsia="zh-CN"/>
              </w:rPr>
              <w:t>一级指标</w:t>
            </w:r>
          </w:p>
        </w:tc>
        <w:tc>
          <w:tcPr>
            <w:tcW w:w="850" w:type="dxa"/>
            <w:vAlign w:val="center"/>
          </w:tcPr>
          <w:p>
            <w:pPr>
              <w:widowControl/>
              <w:autoSpaceDE/>
              <w:autoSpaceDN/>
              <w:spacing w:line="240" w:lineRule="auto"/>
              <w:ind w:firstLine="0" w:firstLineChars="0"/>
              <w:rPr>
                <w:rFonts w:ascii="仿宋_GB2312" w:hAnsi="仿宋_GB2312" w:cs="仿宋_GB2312"/>
                <w:b/>
                <w:bCs/>
                <w:kern w:val="2"/>
                <w:sz w:val="24"/>
                <w:lang w:eastAsia="zh-CN"/>
              </w:rPr>
            </w:pPr>
            <w:r>
              <w:rPr>
                <w:rFonts w:hint="eastAsia" w:ascii="仿宋_GB2312" w:hAnsi="仿宋_GB2312" w:cs="仿宋_GB2312"/>
                <w:b/>
                <w:bCs/>
                <w:kern w:val="2"/>
                <w:sz w:val="24"/>
                <w:lang w:eastAsia="zh-CN"/>
              </w:rPr>
              <w:t>比例</w:t>
            </w:r>
          </w:p>
        </w:tc>
        <w:tc>
          <w:tcPr>
            <w:tcW w:w="5309" w:type="dxa"/>
            <w:vAlign w:val="center"/>
          </w:tcPr>
          <w:p>
            <w:pPr>
              <w:widowControl/>
              <w:autoSpaceDE/>
              <w:autoSpaceDN/>
              <w:spacing w:line="240" w:lineRule="auto"/>
              <w:ind w:firstLine="0" w:firstLineChars="0"/>
              <w:rPr>
                <w:rFonts w:ascii="仿宋_GB2312" w:hAnsi="仿宋_GB2312" w:cs="仿宋_GB2312"/>
                <w:b/>
                <w:bCs/>
                <w:kern w:val="2"/>
                <w:sz w:val="24"/>
                <w:lang w:eastAsia="zh-CN"/>
              </w:rPr>
            </w:pPr>
            <w:r>
              <w:rPr>
                <w:rFonts w:hint="eastAsia" w:ascii="仿宋_GB2312" w:hAnsi="仿宋_GB2312" w:cs="仿宋_GB2312"/>
                <w:b/>
                <w:bCs/>
                <w:kern w:val="2"/>
                <w:sz w:val="24"/>
                <w:lang w:eastAsia="zh-CN"/>
              </w:rPr>
              <w:t>二级指标</w:t>
            </w:r>
          </w:p>
        </w:tc>
        <w:tc>
          <w:tcPr>
            <w:tcW w:w="850" w:type="dxa"/>
            <w:vAlign w:val="center"/>
          </w:tcPr>
          <w:p>
            <w:pPr>
              <w:widowControl/>
              <w:autoSpaceDE/>
              <w:autoSpaceDN/>
              <w:spacing w:line="240" w:lineRule="auto"/>
              <w:ind w:firstLine="0" w:firstLineChars="0"/>
              <w:rPr>
                <w:rFonts w:ascii="仿宋_GB2312" w:hAnsi="仿宋_GB2312" w:cs="仿宋_GB2312"/>
                <w:b/>
                <w:bCs/>
                <w:kern w:val="2"/>
                <w:sz w:val="24"/>
                <w:lang w:eastAsia="zh-CN"/>
              </w:rPr>
            </w:pPr>
            <w:r>
              <w:rPr>
                <w:rFonts w:hint="eastAsia" w:ascii="仿宋_GB2312" w:hAnsi="仿宋_GB2312" w:cs="仿宋_GB2312"/>
                <w:b/>
                <w:bCs/>
                <w:kern w:val="2"/>
                <w:sz w:val="24"/>
                <w:lang w:eastAsia="zh-CN"/>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任务1：</w:t>
            </w:r>
          </w:p>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电子设备</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4"/>
                <w:lang w:eastAsia="zh-CN"/>
              </w:rPr>
              <w:t>组装与调试</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15%</w:t>
            </w:r>
          </w:p>
        </w:tc>
        <w:tc>
          <w:tcPr>
            <w:tcW w:w="5309" w:type="dxa"/>
            <w:vAlign w:val="center"/>
          </w:tcPr>
          <w:p>
            <w:pPr>
              <w:widowControl/>
              <w:autoSpaceDE/>
              <w:autoSpaceDN/>
              <w:spacing w:line="240" w:lineRule="auto"/>
              <w:ind w:firstLine="0" w:firstLineChars="0"/>
              <w:rPr>
                <w:rFonts w:eastAsia="宋体" w:cs="Times New Roman"/>
                <w:kern w:val="2"/>
                <w:sz w:val="21"/>
                <w:szCs w:val="24"/>
                <w:lang w:eastAsia="zh-CN"/>
              </w:rPr>
            </w:pPr>
            <w:r>
              <w:rPr>
                <w:rFonts w:hint="eastAsia" w:ascii="仿宋_GB2312" w:hAnsi="仿宋_GB2312" w:cs="仿宋_GB2312"/>
                <w:kern w:val="2"/>
                <w:sz w:val="21"/>
                <w:szCs w:val="20"/>
                <w:lang w:eastAsia="zh-CN"/>
              </w:rPr>
              <w:t>根据任务书要求，完成传感设备、网络设备、控制设备等电子设备的机电部件组装，并在竞赛平台上完成电子设备的安装部署、网络连接、参数配置和功能调试。</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Merge w:val="restart"/>
            <w:vAlign w:val="center"/>
          </w:tcPr>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任务2：</w:t>
            </w:r>
          </w:p>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设计编程</w:t>
            </w:r>
          </w:p>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与参数配置</w:t>
            </w:r>
          </w:p>
          <w:p>
            <w:pPr>
              <w:widowControl/>
              <w:autoSpaceDE/>
              <w:autoSpaceDN/>
              <w:spacing w:line="240" w:lineRule="auto"/>
              <w:ind w:firstLine="0" w:firstLineChars="0"/>
              <w:rPr>
                <w:rFonts w:ascii="仿宋_GB2312" w:hAnsi="仿宋_GB2312" w:cs="仿宋_GB2312"/>
                <w:kern w:val="2"/>
                <w:sz w:val="21"/>
                <w:szCs w:val="20"/>
                <w:lang w:eastAsia="zh-CN"/>
              </w:rPr>
            </w:pPr>
          </w:p>
        </w:tc>
        <w:tc>
          <w:tcPr>
            <w:tcW w:w="850" w:type="dxa"/>
            <w:vMerge w:val="restart"/>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20%</w:t>
            </w:r>
          </w:p>
        </w:tc>
        <w:tc>
          <w:tcPr>
            <w:tcW w:w="5309"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1.根据任务书要求和电子设备现场监测需要，完成HMI界面设计、PLC与HMI编程、电子设备参数设置，实现对电子设备的数据监测。</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Merge w:val="continue"/>
            <w:vAlign w:val="center"/>
          </w:tcPr>
          <w:p>
            <w:pPr>
              <w:widowControl/>
              <w:autoSpaceDE/>
              <w:autoSpaceDN/>
              <w:spacing w:line="240" w:lineRule="auto"/>
              <w:ind w:firstLine="0" w:firstLineChars="0"/>
              <w:rPr>
                <w:rFonts w:ascii="仿宋_GB2312" w:hAnsi="仿宋_GB2312" w:cs="仿宋_GB2312"/>
                <w:kern w:val="2"/>
                <w:sz w:val="24"/>
                <w:lang w:eastAsia="zh-CN"/>
              </w:rPr>
            </w:pPr>
          </w:p>
        </w:tc>
        <w:tc>
          <w:tcPr>
            <w:tcW w:w="850" w:type="dxa"/>
            <w:vMerge w:val="continue"/>
            <w:vAlign w:val="center"/>
          </w:tcPr>
          <w:p>
            <w:pPr>
              <w:widowControl/>
              <w:autoSpaceDE/>
              <w:autoSpaceDN/>
              <w:spacing w:line="240" w:lineRule="auto"/>
              <w:ind w:firstLine="0" w:firstLineChars="0"/>
              <w:rPr>
                <w:rFonts w:ascii="仿宋_GB2312" w:hAnsi="仿宋_GB2312" w:cs="仿宋_GB2312"/>
                <w:kern w:val="2"/>
                <w:sz w:val="21"/>
                <w:szCs w:val="20"/>
                <w:lang w:eastAsia="zh-CN"/>
              </w:rPr>
            </w:pPr>
          </w:p>
        </w:tc>
        <w:tc>
          <w:tcPr>
            <w:tcW w:w="5309"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2.根据任务书要求和电子设备现场控制需要，完成HMI界面设计、PLC与HMI编程、电子设备参数设置，实现对电子设备的自动控制。</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Merge w:val="restart"/>
            <w:vAlign w:val="center"/>
          </w:tcPr>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任务3：</w:t>
            </w:r>
          </w:p>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数据采集与</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4"/>
                <w:lang w:eastAsia="zh-CN"/>
              </w:rPr>
              <w:t>可视化应用</w:t>
            </w:r>
          </w:p>
        </w:tc>
        <w:tc>
          <w:tcPr>
            <w:tcW w:w="850" w:type="dxa"/>
            <w:vMerge w:val="restart"/>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20%</w:t>
            </w:r>
          </w:p>
        </w:tc>
        <w:tc>
          <w:tcPr>
            <w:tcW w:w="5309"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1.根据任务书要求，进行工业智能网关及工业物联网平台的安装、配置、调试；</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Merge w:val="continue"/>
            <w:vAlign w:val="center"/>
          </w:tcPr>
          <w:p>
            <w:pPr>
              <w:widowControl/>
              <w:autoSpaceDE/>
              <w:autoSpaceDN/>
              <w:spacing w:line="240" w:lineRule="auto"/>
              <w:ind w:firstLine="0" w:firstLineChars="0"/>
              <w:rPr>
                <w:rFonts w:ascii="仿宋_GB2312" w:hAnsi="仿宋_GB2312" w:cs="仿宋_GB2312"/>
                <w:kern w:val="2"/>
                <w:sz w:val="24"/>
                <w:lang w:eastAsia="zh-CN"/>
              </w:rPr>
            </w:pPr>
          </w:p>
        </w:tc>
        <w:tc>
          <w:tcPr>
            <w:tcW w:w="850" w:type="dxa"/>
            <w:vMerge w:val="continue"/>
            <w:vAlign w:val="center"/>
          </w:tcPr>
          <w:p>
            <w:pPr>
              <w:widowControl/>
              <w:autoSpaceDE/>
              <w:autoSpaceDN/>
              <w:spacing w:line="240" w:lineRule="auto"/>
              <w:ind w:firstLine="0" w:firstLineChars="0"/>
              <w:rPr>
                <w:rFonts w:ascii="仿宋_GB2312" w:hAnsi="仿宋_GB2312" w:cs="仿宋_GB2312"/>
                <w:kern w:val="2"/>
                <w:sz w:val="21"/>
                <w:szCs w:val="20"/>
                <w:lang w:eastAsia="zh-CN"/>
              </w:rPr>
            </w:pPr>
          </w:p>
        </w:tc>
        <w:tc>
          <w:tcPr>
            <w:tcW w:w="5309" w:type="dxa"/>
            <w:vAlign w:val="center"/>
          </w:tcPr>
          <w:p>
            <w:pPr>
              <w:widowControl/>
              <w:autoSpaceDE/>
              <w:autoSpaceDN/>
              <w:spacing w:line="240" w:lineRule="auto"/>
              <w:ind w:firstLine="0" w:firstLineChars="0"/>
              <w:rPr>
                <w:rFonts w:eastAsia="宋体" w:cs="Times New Roman"/>
                <w:kern w:val="2"/>
                <w:sz w:val="21"/>
                <w:szCs w:val="24"/>
                <w:lang w:eastAsia="zh-CN"/>
              </w:rPr>
            </w:pPr>
            <w:r>
              <w:rPr>
                <w:rFonts w:hint="eastAsia" w:ascii="仿宋_GB2312" w:hAnsi="仿宋_GB2312" w:cs="仿宋_GB2312"/>
                <w:kern w:val="2"/>
                <w:sz w:val="21"/>
                <w:szCs w:val="20"/>
                <w:lang w:eastAsia="zh-CN"/>
              </w:rPr>
              <w:t>2.完成各类不同工业网络协议的传感、控制等电子设备的数据采集；</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Merge w:val="continue"/>
            <w:vAlign w:val="center"/>
          </w:tcPr>
          <w:p>
            <w:pPr>
              <w:widowControl/>
              <w:autoSpaceDE/>
              <w:autoSpaceDN/>
              <w:spacing w:line="240" w:lineRule="auto"/>
              <w:ind w:firstLine="0" w:firstLineChars="0"/>
              <w:rPr>
                <w:rFonts w:ascii="仿宋_GB2312" w:hAnsi="仿宋_GB2312" w:cs="仿宋_GB2312"/>
                <w:kern w:val="2"/>
                <w:sz w:val="21"/>
                <w:szCs w:val="20"/>
                <w:lang w:eastAsia="zh-CN"/>
              </w:rPr>
            </w:pPr>
          </w:p>
        </w:tc>
        <w:tc>
          <w:tcPr>
            <w:tcW w:w="850" w:type="dxa"/>
            <w:vMerge w:val="continue"/>
            <w:vAlign w:val="center"/>
          </w:tcPr>
          <w:p>
            <w:pPr>
              <w:widowControl/>
              <w:autoSpaceDE/>
              <w:autoSpaceDN/>
              <w:spacing w:line="240" w:lineRule="auto"/>
              <w:ind w:firstLine="0" w:firstLineChars="0"/>
              <w:rPr>
                <w:rFonts w:ascii="仿宋_GB2312" w:hAnsi="仿宋_GB2312" w:cs="仿宋_GB2312"/>
                <w:kern w:val="2"/>
                <w:sz w:val="21"/>
                <w:szCs w:val="20"/>
                <w:lang w:eastAsia="zh-CN"/>
              </w:rPr>
            </w:pPr>
          </w:p>
        </w:tc>
        <w:tc>
          <w:tcPr>
            <w:tcW w:w="5309"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3.完成页面布局、数据接入、数据录入及展示等工业数据可视化应用开发工作。</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Merge w:val="restart"/>
            <w:vAlign w:val="center"/>
          </w:tcPr>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任务4：</w:t>
            </w:r>
          </w:p>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生产过程</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4"/>
                <w:lang w:eastAsia="zh-CN"/>
              </w:rPr>
              <w:t>数智化应用</w:t>
            </w:r>
          </w:p>
        </w:tc>
        <w:tc>
          <w:tcPr>
            <w:tcW w:w="850" w:type="dxa"/>
            <w:vMerge w:val="restart"/>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20%</w:t>
            </w:r>
          </w:p>
        </w:tc>
        <w:tc>
          <w:tcPr>
            <w:tcW w:w="5309"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1.根据任务书要求，搭建制造执行系统（MES）的运行环境，完成系统的安装、部署、调试；</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Merge w:val="continue"/>
            <w:vAlign w:val="center"/>
          </w:tcPr>
          <w:p>
            <w:pPr>
              <w:widowControl/>
              <w:autoSpaceDE/>
              <w:autoSpaceDN/>
              <w:spacing w:line="240" w:lineRule="auto"/>
              <w:ind w:firstLine="0" w:firstLineChars="0"/>
              <w:rPr>
                <w:rFonts w:ascii="仿宋_GB2312" w:hAnsi="仿宋_GB2312" w:cs="仿宋_GB2312"/>
                <w:kern w:val="2"/>
                <w:sz w:val="24"/>
                <w:lang w:eastAsia="zh-CN"/>
              </w:rPr>
            </w:pPr>
          </w:p>
        </w:tc>
        <w:tc>
          <w:tcPr>
            <w:tcW w:w="850" w:type="dxa"/>
            <w:vMerge w:val="continue"/>
            <w:vAlign w:val="center"/>
          </w:tcPr>
          <w:p>
            <w:pPr>
              <w:widowControl/>
              <w:autoSpaceDE/>
              <w:autoSpaceDN/>
              <w:spacing w:line="240" w:lineRule="auto"/>
              <w:ind w:firstLine="0" w:firstLineChars="0"/>
              <w:rPr>
                <w:rFonts w:ascii="仿宋_GB2312" w:hAnsi="仿宋_GB2312" w:cs="仿宋_GB2312"/>
                <w:kern w:val="2"/>
                <w:sz w:val="21"/>
                <w:szCs w:val="20"/>
                <w:lang w:eastAsia="zh-CN"/>
              </w:rPr>
            </w:pPr>
          </w:p>
        </w:tc>
        <w:tc>
          <w:tcPr>
            <w:tcW w:w="5309"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2.配置制造执行系统（MES），实现对电子设备状态、现场环境及视频的数据监控；</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Merge w:val="continue"/>
            <w:vAlign w:val="center"/>
          </w:tcPr>
          <w:p>
            <w:pPr>
              <w:widowControl/>
              <w:autoSpaceDE/>
              <w:autoSpaceDN/>
              <w:spacing w:line="240" w:lineRule="auto"/>
              <w:ind w:firstLine="0" w:firstLineChars="0"/>
              <w:rPr>
                <w:rFonts w:ascii="仿宋_GB2312" w:hAnsi="仿宋_GB2312" w:cs="仿宋_GB2312"/>
                <w:kern w:val="2"/>
                <w:sz w:val="21"/>
                <w:szCs w:val="20"/>
                <w:lang w:eastAsia="zh-CN"/>
              </w:rPr>
            </w:pPr>
          </w:p>
        </w:tc>
        <w:tc>
          <w:tcPr>
            <w:tcW w:w="850" w:type="dxa"/>
            <w:vMerge w:val="continue"/>
            <w:vAlign w:val="center"/>
          </w:tcPr>
          <w:p>
            <w:pPr>
              <w:widowControl/>
              <w:autoSpaceDE/>
              <w:autoSpaceDN/>
              <w:spacing w:line="240" w:lineRule="auto"/>
              <w:ind w:firstLine="0" w:firstLineChars="0"/>
              <w:rPr>
                <w:rFonts w:ascii="仿宋_GB2312" w:hAnsi="仿宋_GB2312" w:cs="仿宋_GB2312"/>
                <w:kern w:val="2"/>
                <w:sz w:val="21"/>
                <w:szCs w:val="20"/>
                <w:lang w:eastAsia="zh-CN"/>
              </w:rPr>
            </w:pPr>
          </w:p>
        </w:tc>
        <w:tc>
          <w:tcPr>
            <w:tcW w:w="5309"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3.根据制造执行系统（MES）的生产数据记录进行分析，完成生产管控建议报告。</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Merge w:val="restart"/>
            <w:vAlign w:val="center"/>
          </w:tcPr>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任务</w:t>
            </w:r>
            <w:r>
              <w:rPr>
                <w:rFonts w:ascii="仿宋_GB2312" w:hAnsi="仿宋_GB2312" w:cs="仿宋_GB2312"/>
                <w:kern w:val="2"/>
                <w:sz w:val="24"/>
                <w:lang w:eastAsia="zh-CN"/>
              </w:rPr>
              <w:t>5</w:t>
            </w:r>
            <w:r>
              <w:rPr>
                <w:rFonts w:hint="eastAsia" w:ascii="仿宋_GB2312" w:hAnsi="仿宋_GB2312" w:cs="仿宋_GB2312"/>
                <w:kern w:val="2"/>
                <w:sz w:val="24"/>
                <w:lang w:eastAsia="zh-CN"/>
              </w:rPr>
              <w:t>：</w:t>
            </w:r>
          </w:p>
          <w:p>
            <w:pPr>
              <w:widowControl/>
              <w:autoSpaceDE/>
              <w:autoSpaceDN/>
              <w:spacing w:line="240" w:lineRule="auto"/>
              <w:ind w:firstLine="0" w:firstLineChars="0"/>
              <w:rPr>
                <w:rFonts w:ascii="仿宋_GB2312" w:hAnsi="仿宋_GB2312" w:cs="仿宋_GB2312"/>
                <w:kern w:val="2"/>
                <w:sz w:val="24"/>
                <w:lang w:eastAsia="zh-CN"/>
              </w:rPr>
            </w:pPr>
            <w:r>
              <w:rPr>
                <w:rFonts w:hint="eastAsia" w:ascii="仿宋_GB2312" w:hAnsi="仿宋_GB2312" w:cs="仿宋_GB2312"/>
                <w:kern w:val="2"/>
                <w:sz w:val="24"/>
                <w:lang w:eastAsia="zh-CN"/>
              </w:rPr>
              <w:t>电子设备</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4"/>
                <w:lang w:eastAsia="zh-CN"/>
              </w:rPr>
              <w:t>数智化运维</w:t>
            </w:r>
          </w:p>
        </w:tc>
        <w:tc>
          <w:tcPr>
            <w:tcW w:w="850" w:type="dxa"/>
            <w:vMerge w:val="restart"/>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20%</w:t>
            </w:r>
          </w:p>
          <w:p>
            <w:pPr>
              <w:widowControl/>
              <w:autoSpaceDE/>
              <w:autoSpaceDN/>
              <w:spacing w:line="240" w:lineRule="auto"/>
              <w:ind w:firstLine="0" w:firstLineChars="0"/>
              <w:rPr>
                <w:rFonts w:ascii="仿宋_GB2312" w:hAnsi="仿宋_GB2312" w:cs="仿宋_GB2312"/>
                <w:kern w:val="2"/>
                <w:sz w:val="21"/>
                <w:szCs w:val="20"/>
                <w:lang w:eastAsia="zh-CN"/>
              </w:rPr>
            </w:pPr>
          </w:p>
        </w:tc>
        <w:tc>
          <w:tcPr>
            <w:tcW w:w="5309"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1.根据任务书要求和电子设备状态监测数据，对设备上指定模块进行故障排除，按要求写出故障解决的方法并编写核心电子设备保养手册；</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Merge w:val="continue"/>
            <w:vAlign w:val="center"/>
          </w:tcPr>
          <w:p>
            <w:pPr>
              <w:widowControl/>
              <w:autoSpaceDE/>
              <w:autoSpaceDN/>
              <w:spacing w:line="240" w:lineRule="auto"/>
              <w:ind w:firstLine="0" w:firstLineChars="0"/>
              <w:rPr>
                <w:rFonts w:ascii="仿宋_GB2312" w:hAnsi="仿宋_GB2312" w:cs="仿宋_GB2312"/>
                <w:kern w:val="2"/>
                <w:sz w:val="21"/>
                <w:szCs w:val="20"/>
                <w:lang w:eastAsia="zh-CN"/>
              </w:rPr>
            </w:pPr>
          </w:p>
        </w:tc>
        <w:tc>
          <w:tcPr>
            <w:tcW w:w="850" w:type="dxa"/>
            <w:vMerge w:val="continue"/>
            <w:vAlign w:val="center"/>
          </w:tcPr>
          <w:p>
            <w:pPr>
              <w:widowControl/>
              <w:autoSpaceDE/>
              <w:autoSpaceDN/>
              <w:spacing w:line="240" w:lineRule="auto"/>
              <w:ind w:firstLine="0" w:firstLineChars="0"/>
              <w:rPr>
                <w:rFonts w:ascii="仿宋_GB2312" w:hAnsi="仿宋_GB2312" w:cs="仿宋_GB2312"/>
                <w:kern w:val="2"/>
                <w:sz w:val="21"/>
                <w:szCs w:val="20"/>
                <w:lang w:eastAsia="zh-CN"/>
              </w:rPr>
            </w:pPr>
          </w:p>
        </w:tc>
        <w:tc>
          <w:tcPr>
            <w:tcW w:w="5309"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2、基于智能传感器的数据观察与诊断结果，结合预测性维护等新技术，提出智能制造产线电子设备的预测性运维建议。</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1701"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职业素养</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与安全意识</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5%</w:t>
            </w:r>
          </w:p>
        </w:tc>
        <w:tc>
          <w:tcPr>
            <w:tcW w:w="5309"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1、选手须着比赛服、穿电工绝缘鞋</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2、电气装调过程中安全规范操作</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3、比赛过程中脱安全帽</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4、比赛过程中工具掉落</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5、比赛结束后，工具摆放有序，卫生清扫，耗材使用合理</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6、违反比赛规定，提前进行比赛操作或比赛终止仍继续操作的</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7、其他不符合职业素养行为等</w:t>
            </w:r>
          </w:p>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8、严重违反赛场纪律按特殊情况处理</w:t>
            </w:r>
          </w:p>
        </w:tc>
        <w:tc>
          <w:tcPr>
            <w:tcW w:w="850" w:type="dxa"/>
            <w:vAlign w:val="center"/>
          </w:tcPr>
          <w:p>
            <w:pPr>
              <w:widowControl/>
              <w:autoSpaceDE/>
              <w:autoSpaceDN/>
              <w:spacing w:line="240" w:lineRule="auto"/>
              <w:ind w:firstLine="0" w:firstLineChars="0"/>
              <w:rPr>
                <w:rFonts w:ascii="仿宋_GB2312" w:hAnsi="仿宋_GB2312" w:cs="仿宋_GB2312"/>
                <w:kern w:val="2"/>
                <w:sz w:val="21"/>
                <w:szCs w:val="20"/>
                <w:lang w:eastAsia="zh-CN"/>
              </w:rPr>
            </w:pPr>
            <w:r>
              <w:rPr>
                <w:rFonts w:hint="eastAsia" w:ascii="仿宋_GB2312" w:hAnsi="仿宋_GB2312" w:cs="仿宋_GB2312"/>
                <w:kern w:val="2"/>
                <w:sz w:val="21"/>
                <w:szCs w:val="20"/>
                <w:lang w:eastAsia="zh-CN"/>
              </w:rPr>
              <w:t>5分</w:t>
            </w:r>
          </w:p>
        </w:tc>
      </w:tr>
    </w:tbl>
    <w:p>
      <w:pPr>
        <w:pStyle w:val="4"/>
        <w:rPr>
          <w:lang w:eastAsia="zh-CN"/>
        </w:rPr>
      </w:pPr>
      <w:bookmarkStart w:id="53" w:name="_Toc108109227"/>
      <w:bookmarkStart w:id="54" w:name="_Toc142493481"/>
      <w:bookmarkStart w:id="55" w:name="_Toc13722"/>
      <w:r>
        <w:rPr>
          <w:lang w:eastAsia="zh-CN"/>
        </w:rPr>
        <w:t>2.</w:t>
      </w:r>
      <w:r>
        <w:rPr>
          <w:rFonts w:hint="eastAsia"/>
          <w:lang w:eastAsia="zh-CN"/>
        </w:rPr>
        <w:t>5</w:t>
      </w:r>
      <w:r>
        <w:rPr>
          <w:lang w:eastAsia="zh-CN"/>
        </w:rPr>
        <w:t>竞赛时间</w:t>
      </w:r>
      <w:bookmarkEnd w:id="53"/>
      <w:bookmarkEnd w:id="54"/>
      <w:bookmarkEnd w:id="55"/>
    </w:p>
    <w:p>
      <w:pPr>
        <w:ind w:firstLine="560"/>
        <w:rPr>
          <w:rFonts w:ascii="仿宋_GB2312" w:cs="Times New Roman"/>
          <w:szCs w:val="24"/>
          <w:lang w:eastAsia="zh-CN"/>
        </w:rPr>
      </w:pPr>
      <w:r>
        <w:rPr>
          <w:rFonts w:hint="eastAsia" w:ascii="仿宋_GB2312" w:cs="Times New Roman"/>
          <w:szCs w:val="24"/>
          <w:lang w:eastAsia="zh-CN"/>
        </w:rPr>
        <w:t>本次竞赛包含理论知识竞赛和实际操作竞赛两部分，其中理论知识竞赛部分时间为60分钟，实际操作竞赛部分时间为240分钟。</w:t>
      </w:r>
    </w:p>
    <w:p>
      <w:pPr>
        <w:pStyle w:val="4"/>
        <w:rPr>
          <w:lang w:eastAsia="zh-CN"/>
        </w:rPr>
      </w:pPr>
      <w:bookmarkStart w:id="56" w:name="_Toc6846"/>
      <w:bookmarkStart w:id="57" w:name="_Toc142493482"/>
      <w:bookmarkStart w:id="58" w:name="_Toc107987966"/>
      <w:bookmarkStart w:id="59" w:name="_Toc108109228"/>
      <w:r>
        <w:rPr>
          <w:rFonts w:hint="eastAsia"/>
          <w:lang w:eastAsia="zh-CN"/>
        </w:rPr>
        <w:t>2.6竞赛要求</w:t>
      </w:r>
      <w:bookmarkEnd w:id="56"/>
      <w:bookmarkEnd w:id="57"/>
      <w:bookmarkEnd w:id="58"/>
      <w:bookmarkEnd w:id="59"/>
    </w:p>
    <w:p>
      <w:pPr>
        <w:spacing w:line="560" w:lineRule="exact"/>
        <w:ind w:firstLine="560"/>
        <w:rPr>
          <w:rFonts w:ascii="仿宋_GB2312" w:hAnsi="仿宋_GB2312" w:cs="仿宋_GB2312"/>
          <w:szCs w:val="30"/>
          <w:lang w:eastAsia="zh-CN"/>
        </w:rPr>
      </w:pPr>
      <w:r>
        <w:rPr>
          <w:rFonts w:hint="eastAsia" w:ascii="仿宋_GB2312" w:hAnsi="仿宋_GB2312" w:cs="仿宋_GB2312"/>
          <w:szCs w:val="30"/>
          <w:lang w:eastAsia="zh-CN"/>
        </w:rPr>
        <w:t>赛前需认真阅读组委会发布的相关文件，熟悉竞赛内容、竞赛流程、竞赛纪律，严格按照文件要求实施。若采用线上模式进行竞赛的，需提前熟悉“在线竞赛系统”、“辅助监考系统”的使用。选手能够熟练接收下发的竞赛试题及资料，能够熟练应用“辅助监考系统”与远端裁判进行互动交流，竞赛过程中或结束后能够按要求上传文档、图像、视频等竞赛内容。</w:t>
      </w:r>
    </w:p>
    <w:p>
      <w:pPr>
        <w:pStyle w:val="3"/>
        <w:rPr>
          <w:lang w:eastAsia="zh-CN"/>
        </w:rPr>
      </w:pPr>
      <w:bookmarkStart w:id="60" w:name="_Toc142493483"/>
      <w:bookmarkStart w:id="61" w:name="_Toc108109229"/>
      <w:bookmarkStart w:id="62" w:name="_Toc30775"/>
      <w:r>
        <w:rPr>
          <w:lang w:eastAsia="zh-CN"/>
        </w:rPr>
        <w:t>3命题方式</w:t>
      </w:r>
      <w:bookmarkEnd w:id="60"/>
      <w:bookmarkEnd w:id="61"/>
      <w:bookmarkEnd w:id="62"/>
    </w:p>
    <w:p>
      <w:pPr>
        <w:pStyle w:val="4"/>
        <w:rPr>
          <w:lang w:eastAsia="zh-CN"/>
        </w:rPr>
      </w:pPr>
      <w:bookmarkStart w:id="63" w:name="_Toc142493484"/>
      <w:bookmarkStart w:id="64" w:name="_Toc29450"/>
      <w:bookmarkStart w:id="65" w:name="_Toc108109230"/>
      <w:r>
        <w:rPr>
          <w:lang w:eastAsia="zh-CN"/>
        </w:rPr>
        <w:t>3.1命题流程</w:t>
      </w:r>
      <w:bookmarkEnd w:id="63"/>
      <w:bookmarkEnd w:id="64"/>
      <w:bookmarkEnd w:id="65"/>
    </w:p>
    <w:p>
      <w:pPr>
        <w:ind w:firstLine="560"/>
        <w:rPr>
          <w:rFonts w:ascii="仿宋_GB2312" w:cs="Times New Roman"/>
          <w:szCs w:val="24"/>
          <w:lang w:eastAsia="zh-CN"/>
        </w:rPr>
      </w:pPr>
      <w:r>
        <w:rPr>
          <w:rFonts w:ascii="仿宋_GB2312" w:cs="Times New Roman"/>
          <w:szCs w:val="24"/>
          <w:lang w:eastAsia="zh-CN"/>
        </w:rPr>
        <w:t>专家组根据本竞赛规程的要求组织命题。竞赛采用建立赛题库并公开竞赛样题的方式进行，赛前30天左右在大赛技术工作委员会指定网站公布一套（含各组别）实际操作竞赛样题（包括评分标准）。</w:t>
      </w:r>
    </w:p>
    <w:p>
      <w:pPr>
        <w:pStyle w:val="4"/>
        <w:rPr>
          <w:lang w:eastAsia="zh-CN"/>
        </w:rPr>
      </w:pPr>
      <w:bookmarkStart w:id="66" w:name="_Toc142493485"/>
      <w:bookmarkStart w:id="67" w:name="_Toc23301"/>
      <w:bookmarkStart w:id="68" w:name="_Toc108109231"/>
      <w:r>
        <w:rPr>
          <w:lang w:eastAsia="zh-CN"/>
        </w:rPr>
        <w:t>3.2最终赛题产生的方式</w:t>
      </w:r>
      <w:bookmarkEnd w:id="66"/>
      <w:bookmarkEnd w:id="67"/>
      <w:bookmarkEnd w:id="68"/>
    </w:p>
    <w:p>
      <w:pPr>
        <w:ind w:firstLine="560"/>
        <w:rPr>
          <w:rFonts w:ascii="仿宋_GB2312" w:cs="Times New Roman"/>
          <w:szCs w:val="24"/>
          <w:lang w:eastAsia="zh-CN"/>
        </w:rPr>
      </w:pPr>
      <w:r>
        <w:rPr>
          <w:rFonts w:ascii="仿宋_GB2312" w:cs="Times New Roman"/>
          <w:szCs w:val="24"/>
          <w:lang w:eastAsia="zh-CN"/>
        </w:rPr>
        <w:t>实际操作竞赛前，专家组对样题内容原则上进行30%以内的修改，各组别根据竞赛场数N，建成由N+1套竞赛赛题组成的竞赛题库，比赛前随机抽取竞赛赛题。竞赛时，同一场比赛的相同组别选手采用相同试题，不同场次使用不同赛题。</w:t>
      </w:r>
    </w:p>
    <w:p>
      <w:pPr>
        <w:ind w:firstLine="560"/>
        <w:rPr>
          <w:rFonts w:ascii="仿宋_GB2312" w:cs="Times New Roman"/>
          <w:szCs w:val="24"/>
          <w:lang w:eastAsia="zh-CN"/>
        </w:rPr>
      </w:pPr>
      <w:r>
        <w:rPr>
          <w:rFonts w:ascii="仿宋_GB2312" w:cs="Times New Roman"/>
          <w:szCs w:val="24"/>
          <w:lang w:eastAsia="zh-CN"/>
        </w:rPr>
        <w:t>赛题抽取是在大赛组委会监督仲裁组的监督下，在专家组提供的实际操作赛题库中，由裁判员随机抽取本场赛题。技术工作委员会须指定专人负责赛题印刷、加密保管、领取和回收工作。</w:t>
      </w:r>
    </w:p>
    <w:p>
      <w:pPr>
        <w:pStyle w:val="3"/>
        <w:rPr>
          <w:lang w:eastAsia="zh-CN"/>
        </w:rPr>
      </w:pPr>
      <w:bookmarkStart w:id="69" w:name="_Toc108109232"/>
      <w:bookmarkStart w:id="70" w:name="_Toc9002"/>
      <w:bookmarkStart w:id="71" w:name="_Toc142493486"/>
      <w:r>
        <w:rPr>
          <w:lang w:eastAsia="zh-CN"/>
        </w:rPr>
        <w:t>4评判方式</w:t>
      </w:r>
      <w:bookmarkEnd w:id="69"/>
      <w:bookmarkEnd w:id="70"/>
      <w:bookmarkEnd w:id="71"/>
    </w:p>
    <w:p>
      <w:pPr>
        <w:pStyle w:val="4"/>
        <w:rPr>
          <w:lang w:eastAsia="zh-CN"/>
        </w:rPr>
      </w:pPr>
      <w:bookmarkStart w:id="72" w:name="_Toc108109233"/>
      <w:bookmarkStart w:id="73" w:name="_Toc28204"/>
      <w:bookmarkStart w:id="74" w:name="_Toc142493487"/>
      <w:r>
        <w:rPr>
          <w:lang w:eastAsia="zh-CN"/>
        </w:rPr>
        <w:t>4.1评判流程</w:t>
      </w:r>
      <w:bookmarkEnd w:id="72"/>
      <w:bookmarkEnd w:id="73"/>
      <w:bookmarkEnd w:id="74"/>
    </w:p>
    <w:p>
      <w:pPr>
        <w:ind w:firstLine="560"/>
        <w:rPr>
          <w:rFonts w:ascii="仿宋_GB2312" w:cs="Times New Roman"/>
          <w:szCs w:val="24"/>
          <w:lang w:eastAsia="zh-CN"/>
        </w:rPr>
      </w:pPr>
      <w:r>
        <w:rPr>
          <w:rFonts w:ascii="仿宋_GB2312" w:cs="Times New Roman"/>
          <w:szCs w:val="24"/>
          <w:lang w:eastAsia="zh-CN"/>
        </w:rPr>
        <w:t>实际操作竞赛评分由过程结果评分、违规扣分二部分组成。</w:t>
      </w:r>
    </w:p>
    <w:p>
      <w:pPr>
        <w:ind w:firstLine="562"/>
        <w:rPr>
          <w:b/>
          <w:bCs/>
          <w:lang w:eastAsia="zh-CN"/>
        </w:rPr>
      </w:pPr>
      <w:bookmarkStart w:id="75" w:name="_Toc108109347"/>
      <w:bookmarkStart w:id="76" w:name="_Toc109205546"/>
      <w:bookmarkStart w:id="77" w:name="_Toc108615534"/>
      <w:bookmarkStart w:id="78" w:name="_Toc22934"/>
      <w:bookmarkStart w:id="79" w:name="_Toc142493488"/>
      <w:bookmarkStart w:id="80" w:name="_Toc108109234"/>
      <w:r>
        <w:rPr>
          <w:b/>
          <w:bCs/>
          <w:lang w:eastAsia="zh-CN"/>
        </w:rPr>
        <w:t>4.1.1过程结果评分</w:t>
      </w:r>
      <w:bookmarkEnd w:id="75"/>
      <w:bookmarkEnd w:id="76"/>
      <w:bookmarkEnd w:id="77"/>
      <w:bookmarkEnd w:id="78"/>
      <w:bookmarkEnd w:id="79"/>
      <w:bookmarkEnd w:id="80"/>
    </w:p>
    <w:p>
      <w:pPr>
        <w:ind w:firstLine="560"/>
        <w:rPr>
          <w:rFonts w:ascii="仿宋_GB2312" w:cs="Times New Roman"/>
          <w:szCs w:val="24"/>
          <w:lang w:eastAsia="zh-CN"/>
        </w:rPr>
      </w:pPr>
      <w:r>
        <w:rPr>
          <w:rFonts w:hint="eastAsia" w:ascii="仿宋_GB2312" w:cs="Times New Roman"/>
          <w:szCs w:val="24"/>
          <w:lang w:eastAsia="zh-CN"/>
        </w:rPr>
        <w:t>过程</w:t>
      </w:r>
      <w:r>
        <w:rPr>
          <w:rFonts w:ascii="仿宋_GB2312" w:cs="Times New Roman"/>
          <w:szCs w:val="24"/>
          <w:lang w:eastAsia="zh-CN"/>
        </w:rPr>
        <w:t>结果评分由现场评分裁判根据评分细则，共同对选手的操作进行现场客观评分，并记录评分结果；若现场评分裁判对选手的评分有分歧时，由现场裁判长裁决。</w:t>
      </w:r>
    </w:p>
    <w:p>
      <w:pPr>
        <w:ind w:firstLine="562"/>
        <w:rPr>
          <w:b/>
          <w:bCs/>
          <w:lang w:eastAsia="zh-CN"/>
        </w:rPr>
      </w:pPr>
      <w:bookmarkStart w:id="81" w:name="_Toc18817"/>
      <w:bookmarkStart w:id="82" w:name="_Toc108615535"/>
      <w:bookmarkStart w:id="83" w:name="_Toc108109348"/>
      <w:bookmarkStart w:id="84" w:name="_Toc142493489"/>
      <w:bookmarkStart w:id="85" w:name="_Toc109205547"/>
      <w:bookmarkStart w:id="86" w:name="_Toc108109235"/>
      <w:r>
        <w:rPr>
          <w:b/>
          <w:bCs/>
          <w:lang w:eastAsia="zh-CN"/>
        </w:rPr>
        <w:t>4.1.2违规扣分</w:t>
      </w:r>
      <w:bookmarkEnd w:id="81"/>
      <w:bookmarkEnd w:id="82"/>
      <w:bookmarkEnd w:id="83"/>
      <w:bookmarkEnd w:id="84"/>
      <w:bookmarkEnd w:id="85"/>
      <w:bookmarkEnd w:id="86"/>
    </w:p>
    <w:p>
      <w:pPr>
        <w:ind w:firstLine="560"/>
        <w:rPr>
          <w:rFonts w:ascii="仿宋_GB2312" w:cs="Times New Roman"/>
          <w:szCs w:val="24"/>
          <w:lang w:eastAsia="zh-CN"/>
        </w:rPr>
      </w:pPr>
      <w:r>
        <w:rPr>
          <w:rFonts w:ascii="仿宋_GB2312" w:cs="Times New Roman"/>
          <w:szCs w:val="24"/>
          <w:lang w:eastAsia="zh-CN"/>
        </w:rPr>
        <w:t>选手比赛中有下列情形者将予以扣分：</w:t>
      </w:r>
    </w:p>
    <w:p>
      <w:pPr>
        <w:ind w:firstLine="560"/>
        <w:rPr>
          <w:rFonts w:ascii="仿宋_GB2312" w:cs="Times New Roman"/>
          <w:szCs w:val="24"/>
          <w:lang w:eastAsia="zh-CN"/>
        </w:rPr>
      </w:pPr>
      <w:r>
        <w:rPr>
          <w:rFonts w:ascii="仿宋_GB2312" w:cs="Times New Roman"/>
          <w:szCs w:val="24"/>
          <w:lang w:eastAsia="zh-CN"/>
        </w:rPr>
        <w:t>（1）职业素养明显表现不规范、不达标，包括工具、量具、仪器的选择和使用、操作步骤、操作方法、操作规范性等</w:t>
      </w:r>
      <w:r>
        <w:rPr>
          <w:rFonts w:hint="eastAsia" w:ascii="仿宋_GB2312" w:cs="Times New Roman"/>
          <w:szCs w:val="24"/>
          <w:lang w:eastAsia="zh-CN"/>
        </w:rPr>
        <w:t>，</w:t>
      </w:r>
      <w:r>
        <w:rPr>
          <w:rFonts w:hint="eastAsia" w:ascii="仿宋_GB2312" w:hAnsi="仿宋_GB2312" w:cs="仿宋_GB2312"/>
          <w:szCs w:val="30"/>
          <w:lang w:eastAsia="zh-CN"/>
        </w:rPr>
        <w:t>扣总分5%以内</w:t>
      </w:r>
      <w:r>
        <w:rPr>
          <w:rFonts w:ascii="仿宋_GB2312" w:cs="Times New Roman"/>
          <w:szCs w:val="24"/>
          <w:lang w:eastAsia="zh-CN"/>
        </w:rPr>
        <w:t>。</w:t>
      </w:r>
    </w:p>
    <w:p>
      <w:pPr>
        <w:ind w:firstLine="560"/>
        <w:rPr>
          <w:rFonts w:ascii="仿宋_GB2312" w:cs="Times New Roman"/>
          <w:szCs w:val="24"/>
          <w:lang w:eastAsia="zh-CN"/>
        </w:rPr>
      </w:pPr>
      <w:r>
        <w:rPr>
          <w:rFonts w:ascii="仿宋_GB2312" w:cs="Times New Roman"/>
          <w:szCs w:val="24"/>
          <w:lang w:eastAsia="zh-CN"/>
        </w:rPr>
        <w:t>（2）在完成工作任务的过程中，因操作不当导致事故，扣总分</w:t>
      </w:r>
      <w:r>
        <w:rPr>
          <w:rFonts w:hint="eastAsia" w:ascii="仿宋_GB2312" w:cs="Times New Roman"/>
          <w:szCs w:val="24"/>
          <w:lang w:eastAsia="zh-CN"/>
        </w:rPr>
        <w:t>10%～15%</w:t>
      </w:r>
      <w:r>
        <w:rPr>
          <w:rFonts w:ascii="仿宋_GB2312" w:cs="Times New Roman"/>
          <w:szCs w:val="24"/>
          <w:lang w:eastAsia="zh-CN"/>
        </w:rPr>
        <w:t>，情况严重者取消比赛资格。</w:t>
      </w:r>
    </w:p>
    <w:p>
      <w:pPr>
        <w:ind w:firstLine="560"/>
        <w:rPr>
          <w:rFonts w:ascii="仿宋_GB2312" w:cs="Times New Roman"/>
          <w:szCs w:val="24"/>
          <w:lang w:eastAsia="zh-CN"/>
        </w:rPr>
      </w:pPr>
      <w:r>
        <w:rPr>
          <w:rFonts w:ascii="仿宋_GB2312" w:cs="Times New Roman"/>
          <w:szCs w:val="24"/>
          <w:lang w:eastAsia="zh-CN"/>
        </w:rPr>
        <w:t>（3）因违规操作损坏赛场提供的设备，污染赛场环境等严重不符合职业规范的行为，视情节扣总分</w:t>
      </w:r>
      <w:r>
        <w:rPr>
          <w:rFonts w:hint="eastAsia" w:ascii="仿宋_GB2312" w:cs="Times New Roman"/>
          <w:szCs w:val="24"/>
          <w:lang w:eastAsia="zh-CN"/>
        </w:rPr>
        <w:t>5%～10%</w:t>
      </w:r>
      <w:r>
        <w:rPr>
          <w:rFonts w:ascii="仿宋_GB2312" w:cs="Times New Roman"/>
          <w:szCs w:val="24"/>
          <w:lang w:eastAsia="zh-CN"/>
        </w:rPr>
        <w:t>，情况严重者取消比赛资格。</w:t>
      </w:r>
    </w:p>
    <w:p>
      <w:pPr>
        <w:ind w:firstLine="560"/>
        <w:rPr>
          <w:rFonts w:ascii="仿宋_GB2312" w:cs="Times New Roman"/>
          <w:szCs w:val="24"/>
          <w:lang w:eastAsia="zh-CN"/>
        </w:rPr>
      </w:pPr>
      <w:r>
        <w:rPr>
          <w:rFonts w:ascii="仿宋_GB2312" w:cs="Times New Roman"/>
          <w:szCs w:val="24"/>
          <w:lang w:eastAsia="zh-CN"/>
        </w:rPr>
        <w:t>（4）扰乱赛场秩序，干扰裁判员工作，视情节扣总分</w:t>
      </w:r>
      <w:r>
        <w:rPr>
          <w:rFonts w:hint="eastAsia" w:ascii="仿宋_GB2312" w:cs="Times New Roman"/>
          <w:szCs w:val="24"/>
          <w:lang w:eastAsia="zh-CN"/>
        </w:rPr>
        <w:t>5%～10%</w:t>
      </w:r>
      <w:r>
        <w:rPr>
          <w:rFonts w:ascii="仿宋_GB2312" w:cs="Times New Roman"/>
          <w:szCs w:val="24"/>
          <w:lang w:eastAsia="zh-CN"/>
        </w:rPr>
        <w:t>，情况严重者取消比赛资格。</w:t>
      </w:r>
    </w:p>
    <w:p>
      <w:pPr>
        <w:pStyle w:val="4"/>
        <w:rPr>
          <w:lang w:eastAsia="zh-CN"/>
        </w:rPr>
      </w:pPr>
      <w:bookmarkStart w:id="87" w:name="_Toc142493490"/>
      <w:bookmarkStart w:id="88" w:name="_Toc6270"/>
      <w:bookmarkStart w:id="89" w:name="_Toc108109236"/>
      <w:bookmarkStart w:id="90" w:name="_Toc30660"/>
      <w:r>
        <w:rPr>
          <w:lang w:eastAsia="zh-CN"/>
        </w:rPr>
        <w:t>4.2评判方法</w:t>
      </w:r>
      <w:bookmarkEnd w:id="87"/>
      <w:bookmarkEnd w:id="88"/>
      <w:bookmarkEnd w:id="89"/>
      <w:bookmarkEnd w:id="90"/>
    </w:p>
    <w:p>
      <w:pPr>
        <w:ind w:firstLine="560"/>
        <w:rPr>
          <w:rFonts w:ascii="仿宋_GB2312" w:cs="Times New Roman"/>
          <w:szCs w:val="24"/>
          <w:lang w:eastAsia="zh-CN"/>
        </w:rPr>
      </w:pPr>
      <w:r>
        <w:rPr>
          <w:rFonts w:hint="eastAsia" w:ascii="仿宋_GB2312" w:cs="Times New Roman"/>
          <w:szCs w:val="24"/>
          <w:lang w:eastAsia="zh-CN"/>
        </w:rPr>
        <w:t>（1）</w:t>
      </w:r>
      <w:r>
        <w:rPr>
          <w:rFonts w:ascii="仿宋_GB2312" w:cs="Times New Roman"/>
          <w:szCs w:val="24"/>
          <w:lang w:eastAsia="zh-CN"/>
        </w:rPr>
        <w:t>采用过程评分的任务，将根据工具、量具、仪器的选择和使用、操作步骤、操作方法、操作规范性、操作结果等诸方面进行评分。</w:t>
      </w:r>
    </w:p>
    <w:p>
      <w:pPr>
        <w:ind w:firstLine="560"/>
        <w:rPr>
          <w:rFonts w:ascii="仿宋_GB2312" w:cs="Times New Roman"/>
          <w:szCs w:val="24"/>
          <w:lang w:eastAsia="zh-CN"/>
        </w:rPr>
      </w:pPr>
      <w:r>
        <w:rPr>
          <w:rFonts w:hint="eastAsia" w:ascii="仿宋_GB2312" w:cs="Times New Roman"/>
          <w:szCs w:val="24"/>
          <w:lang w:eastAsia="zh-CN"/>
        </w:rPr>
        <w:t>（2）</w:t>
      </w:r>
      <w:r>
        <w:rPr>
          <w:rFonts w:ascii="仿宋_GB2312" w:cs="Times New Roman"/>
          <w:szCs w:val="24"/>
          <w:lang w:eastAsia="zh-CN"/>
        </w:rPr>
        <w:t>采用结果评分的任务，将根据任务书要求的内容，对参赛</w:t>
      </w:r>
      <w:r>
        <w:rPr>
          <w:rFonts w:hint="eastAsia" w:ascii="仿宋_GB2312" w:cs="Times New Roman"/>
          <w:szCs w:val="24"/>
          <w:lang w:eastAsia="zh-CN"/>
        </w:rPr>
        <w:t>者</w:t>
      </w:r>
      <w:r>
        <w:rPr>
          <w:rFonts w:ascii="仿宋_GB2312" w:cs="Times New Roman"/>
          <w:szCs w:val="24"/>
          <w:lang w:eastAsia="zh-CN"/>
        </w:rPr>
        <w:t>完成的</w:t>
      </w:r>
      <w:r>
        <w:rPr>
          <w:rFonts w:hint="eastAsia"/>
          <w:lang w:eastAsia="zh-CN"/>
        </w:rPr>
        <w:t>电子设备的安装调试、参数配置、检测控制、数据采集及可视化、生产智能控制、设备预测性维护及排故等</w:t>
      </w:r>
      <w:r>
        <w:rPr>
          <w:rFonts w:ascii="仿宋_GB2312" w:cs="Times New Roman"/>
          <w:szCs w:val="24"/>
          <w:lang w:eastAsia="zh-CN"/>
        </w:rPr>
        <w:t>实现程度进行评判。</w:t>
      </w:r>
    </w:p>
    <w:p>
      <w:pPr>
        <w:ind w:firstLine="560"/>
        <w:rPr>
          <w:rFonts w:ascii="仿宋_GB2312" w:cs="Times New Roman"/>
          <w:szCs w:val="24"/>
          <w:lang w:eastAsia="zh-CN"/>
        </w:rPr>
      </w:pPr>
      <w:r>
        <w:rPr>
          <w:rFonts w:hint="eastAsia" w:ascii="仿宋_GB2312" w:cs="Times New Roman"/>
          <w:szCs w:val="24"/>
          <w:lang w:eastAsia="zh-CN"/>
        </w:rPr>
        <w:t>（3）</w:t>
      </w:r>
      <w:r>
        <w:rPr>
          <w:rFonts w:ascii="仿宋_GB2312" w:cs="Times New Roman"/>
          <w:szCs w:val="24"/>
          <w:lang w:eastAsia="zh-CN"/>
        </w:rPr>
        <w:t>评判方法规范、统一、标准，保证对所有选手一致。</w:t>
      </w:r>
    </w:p>
    <w:p>
      <w:pPr>
        <w:pStyle w:val="4"/>
        <w:rPr>
          <w:lang w:eastAsia="zh-CN"/>
        </w:rPr>
      </w:pPr>
      <w:bookmarkStart w:id="91" w:name="_Toc23632"/>
      <w:bookmarkStart w:id="92" w:name="_Toc142493491"/>
      <w:bookmarkStart w:id="93" w:name="_Toc108109237"/>
      <w:bookmarkStart w:id="94" w:name="_Toc107987973"/>
      <w:bookmarkStart w:id="95" w:name="_Toc29105"/>
      <w:r>
        <w:rPr>
          <w:rFonts w:hint="eastAsia"/>
          <w:lang w:eastAsia="zh-CN"/>
        </w:rPr>
        <w:t>4.3评判的硬件设备要求</w:t>
      </w:r>
      <w:bookmarkEnd w:id="91"/>
      <w:bookmarkEnd w:id="92"/>
      <w:bookmarkEnd w:id="93"/>
      <w:bookmarkEnd w:id="94"/>
      <w:bookmarkEnd w:id="95"/>
    </w:p>
    <w:p>
      <w:pPr>
        <w:ind w:firstLine="560"/>
        <w:rPr>
          <w:rFonts w:ascii="仿宋_GB2312" w:hAnsi="仿宋_GB2312" w:cs="仿宋_GB2312"/>
          <w:szCs w:val="30"/>
          <w:lang w:eastAsia="zh-CN"/>
        </w:rPr>
      </w:pPr>
      <w:r>
        <w:rPr>
          <w:rFonts w:hint="eastAsia" w:ascii="仿宋_GB2312" w:hAnsi="仿宋_GB2312" w:cs="仿宋_GB2312"/>
          <w:szCs w:val="30"/>
          <w:lang w:eastAsia="zh-CN"/>
        </w:rPr>
        <w:t>检测设备和量具：万用表、计时器等。</w:t>
      </w:r>
    </w:p>
    <w:p>
      <w:pPr>
        <w:pStyle w:val="4"/>
        <w:rPr>
          <w:lang w:eastAsia="zh-CN"/>
        </w:rPr>
      </w:pPr>
      <w:bookmarkStart w:id="96" w:name="_Toc142493492"/>
      <w:bookmarkStart w:id="97" w:name="_Toc108109238"/>
      <w:bookmarkStart w:id="98" w:name="_Toc10016"/>
      <w:bookmarkStart w:id="99" w:name="_Toc31810"/>
      <w:r>
        <w:rPr>
          <w:lang w:eastAsia="zh-CN"/>
        </w:rPr>
        <w:t>4.4成绩复核</w:t>
      </w:r>
      <w:bookmarkEnd w:id="96"/>
      <w:bookmarkEnd w:id="97"/>
      <w:bookmarkEnd w:id="98"/>
      <w:bookmarkEnd w:id="99"/>
    </w:p>
    <w:p>
      <w:pPr>
        <w:ind w:firstLine="560"/>
        <w:rPr>
          <w:rFonts w:ascii="仿宋_GB2312" w:cs="Times New Roman"/>
          <w:szCs w:val="24"/>
          <w:lang w:eastAsia="zh-CN"/>
        </w:rPr>
      </w:pPr>
      <w:r>
        <w:rPr>
          <w:rFonts w:ascii="仿宋_GB2312" w:cs="Times New Roman"/>
          <w:szCs w:val="24"/>
          <w:lang w:eastAsia="zh-CN"/>
        </w:rPr>
        <w:t>为保障成绩评判的准确性，监督仲裁组将对赛项总成绩排名前30%的所有参赛选手的成绩进行复核；对其余成绩进行抽检复核，抽检覆盖率不得低于15%。如发现成绩错误以书面方式及时告知裁判长，由裁判长更正成绩并签字确认。复核、抽检错误率超过5%的，裁判组将对所有成绩进行复核。</w:t>
      </w:r>
    </w:p>
    <w:p>
      <w:pPr>
        <w:pStyle w:val="4"/>
        <w:rPr>
          <w:lang w:eastAsia="zh-CN"/>
        </w:rPr>
      </w:pPr>
      <w:bookmarkStart w:id="100" w:name="_Toc142493493"/>
      <w:bookmarkStart w:id="101" w:name="_Toc108109239"/>
      <w:bookmarkStart w:id="102" w:name="_Toc13570"/>
      <w:bookmarkStart w:id="103" w:name="_Toc10248"/>
      <w:r>
        <w:rPr>
          <w:lang w:eastAsia="zh-CN"/>
        </w:rPr>
        <w:t>4.5最终成绩</w:t>
      </w:r>
      <w:bookmarkEnd w:id="100"/>
      <w:bookmarkEnd w:id="101"/>
      <w:bookmarkEnd w:id="102"/>
      <w:bookmarkEnd w:id="103"/>
    </w:p>
    <w:p>
      <w:pPr>
        <w:ind w:firstLine="560"/>
        <w:rPr>
          <w:rFonts w:ascii="仿宋_GB2312" w:cs="Times New Roman"/>
          <w:szCs w:val="24"/>
          <w:lang w:eastAsia="zh-CN"/>
        </w:rPr>
      </w:pPr>
      <w:r>
        <w:rPr>
          <w:rFonts w:ascii="仿宋_GB2312" w:cs="Times New Roman"/>
          <w:szCs w:val="24"/>
          <w:lang w:eastAsia="zh-CN"/>
        </w:rPr>
        <w:t>赛项最终得分按100分制计分。最终成绩经复核无误，由裁判长、监督仲裁人员签字确认后公布。实际操作竞赛全部结束后24小时内公布最终成绩。</w:t>
      </w:r>
    </w:p>
    <w:p>
      <w:pPr>
        <w:pStyle w:val="4"/>
        <w:rPr>
          <w:lang w:eastAsia="zh-CN"/>
        </w:rPr>
      </w:pPr>
      <w:bookmarkStart w:id="104" w:name="_Toc28826"/>
      <w:bookmarkStart w:id="105" w:name="_Toc24889"/>
      <w:bookmarkStart w:id="106" w:name="_Toc108109240"/>
      <w:bookmarkStart w:id="107" w:name="_Toc142493494"/>
      <w:r>
        <w:rPr>
          <w:lang w:eastAsia="zh-CN"/>
        </w:rPr>
        <w:t>4.6成绩排序和奖项设定</w:t>
      </w:r>
      <w:bookmarkEnd w:id="104"/>
      <w:bookmarkEnd w:id="105"/>
      <w:bookmarkEnd w:id="106"/>
      <w:bookmarkEnd w:id="107"/>
    </w:p>
    <w:p>
      <w:pPr>
        <w:ind w:firstLine="562"/>
        <w:rPr>
          <w:b/>
          <w:bCs/>
          <w:lang w:eastAsia="zh-CN"/>
        </w:rPr>
      </w:pPr>
      <w:bookmarkStart w:id="108" w:name="_Toc108109241"/>
      <w:bookmarkStart w:id="109" w:name="_Toc142493495"/>
      <w:bookmarkStart w:id="110" w:name="_Toc108615541"/>
      <w:bookmarkStart w:id="111" w:name="_Toc108109354"/>
      <w:bookmarkStart w:id="112" w:name="_Toc109205553"/>
      <w:bookmarkStart w:id="113" w:name="_Toc5497"/>
      <w:r>
        <w:rPr>
          <w:b/>
          <w:bCs/>
          <w:lang w:eastAsia="zh-CN"/>
        </w:rPr>
        <w:t>4.6.1名次排序方法</w:t>
      </w:r>
      <w:bookmarkEnd w:id="108"/>
      <w:bookmarkEnd w:id="109"/>
      <w:bookmarkEnd w:id="110"/>
      <w:bookmarkEnd w:id="111"/>
      <w:bookmarkEnd w:id="112"/>
      <w:bookmarkEnd w:id="113"/>
    </w:p>
    <w:p>
      <w:pPr>
        <w:ind w:firstLine="560"/>
        <w:rPr>
          <w:rFonts w:ascii="仿宋_GB2312" w:cs="Times New Roman"/>
          <w:szCs w:val="24"/>
          <w:lang w:eastAsia="zh-CN"/>
        </w:rPr>
      </w:pPr>
      <w:r>
        <w:rPr>
          <w:rFonts w:ascii="仿宋_GB2312" w:cs="Times New Roman"/>
          <w:szCs w:val="24"/>
          <w:lang w:eastAsia="zh-CN"/>
        </w:rPr>
        <w:t>名次的排序根据选手竞赛总分评定结果从高到低依次排定；竞赛总分相同者，实际操作竞赛用时少的优先。若实际操作竞赛用时相同，“</w:t>
      </w:r>
      <w:r>
        <w:rPr>
          <w:rFonts w:hint="eastAsia" w:ascii="仿宋_GB2312" w:cs="Times New Roman"/>
          <w:szCs w:val="24"/>
          <w:lang w:eastAsia="zh-CN"/>
        </w:rPr>
        <w:t>任务5：电子设备数智化运维</w:t>
      </w:r>
      <w:r>
        <w:rPr>
          <w:rFonts w:ascii="仿宋_GB2312" w:cs="Times New Roman"/>
          <w:szCs w:val="24"/>
          <w:lang w:eastAsia="zh-CN"/>
        </w:rPr>
        <w:t>”得分高者优先。若得分再相同，“</w:t>
      </w:r>
      <w:r>
        <w:rPr>
          <w:rFonts w:hint="eastAsia" w:ascii="仿宋_GB2312" w:cs="Times New Roman"/>
          <w:szCs w:val="24"/>
          <w:lang w:eastAsia="zh-CN"/>
        </w:rPr>
        <w:t>任务3：数据采集与可视化应用</w:t>
      </w:r>
      <w:r>
        <w:rPr>
          <w:rFonts w:ascii="仿宋_GB2312" w:cs="Times New Roman"/>
          <w:szCs w:val="24"/>
          <w:lang w:eastAsia="zh-CN"/>
        </w:rPr>
        <w:t>”得分高者优先。</w:t>
      </w:r>
    </w:p>
    <w:p>
      <w:pPr>
        <w:ind w:firstLine="562"/>
        <w:rPr>
          <w:b/>
          <w:bCs/>
          <w:lang w:eastAsia="zh-CN"/>
        </w:rPr>
      </w:pPr>
      <w:bookmarkStart w:id="114" w:name="_Toc108615542"/>
      <w:bookmarkStart w:id="115" w:name="_Toc15868"/>
      <w:bookmarkStart w:id="116" w:name="_Toc109205554"/>
      <w:bookmarkStart w:id="117" w:name="_Toc108109355"/>
      <w:bookmarkStart w:id="118" w:name="_Toc108109242"/>
      <w:bookmarkStart w:id="119" w:name="_Toc142493496"/>
      <w:r>
        <w:rPr>
          <w:b/>
          <w:bCs/>
          <w:lang w:eastAsia="zh-CN"/>
        </w:rPr>
        <w:t>4.6.2奖项设定</w:t>
      </w:r>
      <w:bookmarkEnd w:id="114"/>
      <w:bookmarkEnd w:id="115"/>
      <w:bookmarkEnd w:id="116"/>
      <w:bookmarkEnd w:id="117"/>
      <w:bookmarkEnd w:id="118"/>
      <w:bookmarkEnd w:id="119"/>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w:t>
      </w:r>
      <w:r>
        <w:rPr>
          <w:rFonts w:ascii="仿宋_GB2312" w:hAnsi="仿宋_GB2312" w:cs="仿宋_GB2312"/>
          <w:kern w:val="2"/>
          <w:szCs w:val="30"/>
          <w:lang w:eastAsia="zh-CN"/>
        </w:rPr>
        <w:t>1）</w:t>
      </w:r>
      <w:r>
        <w:rPr>
          <w:rFonts w:hint="eastAsia" w:ascii="仿宋_GB2312" w:hAnsi="仿宋_GB2312" w:cs="仿宋_GB2312"/>
          <w:kern w:val="2"/>
          <w:szCs w:val="30"/>
          <w:lang w:eastAsia="zh-CN"/>
        </w:rPr>
        <w:t>对各赛项决赛双人赛项前2名且为职工身份的选手，经人力资源和社会保障部核准后，授予“全国技术能手”荣誉称号。</w:t>
      </w:r>
    </w:p>
    <w:p>
      <w:pPr>
        <w:autoSpaceDE/>
        <w:autoSpaceDN/>
        <w:ind w:firstLine="560"/>
        <w:rPr>
          <w:rFonts w:ascii="仿宋_GB2312" w:hAnsi="仿宋_GB2312" w:cs="仿宋_GB2312"/>
          <w:kern w:val="2"/>
          <w:szCs w:val="30"/>
          <w:lang w:eastAsia="zh-CN"/>
        </w:rPr>
      </w:pPr>
      <w:r>
        <w:rPr>
          <w:rFonts w:ascii="仿宋_GB2312" w:hAnsi="仿宋_GB2312" w:cs="仿宋_GB2312"/>
          <w:kern w:val="2"/>
          <w:szCs w:val="30"/>
          <w:lang w:eastAsia="zh-CN"/>
        </w:rPr>
        <w:t>（2）</w:t>
      </w:r>
      <w:r>
        <w:rPr>
          <w:rFonts w:hint="eastAsia" w:ascii="仿宋_GB2312" w:hAnsi="仿宋_GB2312" w:cs="仿宋_GB2312"/>
          <w:kern w:val="2"/>
          <w:szCs w:val="30"/>
          <w:lang w:eastAsia="zh-CN"/>
        </w:rPr>
        <w:t>各赛项各组别全国决赛设一等奖、二等奖、三等奖和优胜奖，由大赛组委会办公室颁发奖杯和获奖证书。第1</w:t>
      </w:r>
      <w:r>
        <w:rPr>
          <w:rFonts w:hint="eastAsia" w:ascii="仿宋_GB2312" w:hAnsi="仿宋_GB2312" w:cs="仿宋_GB2312"/>
          <w:szCs w:val="30"/>
          <w:lang w:eastAsia="zh-CN"/>
        </w:rPr>
        <w:t>～</w:t>
      </w:r>
      <w:r>
        <w:rPr>
          <w:rFonts w:hint="eastAsia" w:ascii="仿宋_GB2312" w:hAnsi="仿宋_GB2312" w:cs="仿宋_GB2312"/>
          <w:kern w:val="2"/>
          <w:szCs w:val="30"/>
          <w:lang w:eastAsia="zh-CN"/>
        </w:rPr>
        <w:t>2名按相关规定由大赛组委会晋升技师职业技能等级，已具有技师职业资格或职业技能等级的，可晋升高级技师职业技能等级</w:t>
      </w:r>
      <w:r>
        <w:rPr>
          <w:rFonts w:ascii="仿宋_GB2312" w:hAnsi="仿宋_GB2312" w:cs="仿宋_GB2312"/>
          <w:kern w:val="2"/>
          <w:szCs w:val="30"/>
          <w:lang w:eastAsia="zh-CN"/>
        </w:rPr>
        <w:t>（学生组最高至技师）</w:t>
      </w:r>
      <w:r>
        <w:rPr>
          <w:rFonts w:hint="eastAsia" w:ascii="仿宋_GB2312" w:hAnsi="仿宋_GB2312" w:cs="仿宋_GB2312"/>
          <w:kern w:val="2"/>
          <w:szCs w:val="30"/>
          <w:lang w:eastAsia="zh-CN"/>
        </w:rPr>
        <w:t>；第3</w:t>
      </w:r>
      <w:r>
        <w:rPr>
          <w:rFonts w:hint="eastAsia" w:ascii="仿宋_GB2312" w:hAnsi="仿宋_GB2312" w:cs="仿宋_GB2312"/>
          <w:szCs w:val="30"/>
          <w:lang w:eastAsia="zh-CN"/>
        </w:rPr>
        <w:t>～</w:t>
      </w:r>
      <w:r>
        <w:rPr>
          <w:rFonts w:hint="eastAsia" w:ascii="仿宋_GB2312" w:hAnsi="仿宋_GB2312" w:cs="仿宋_GB2312"/>
          <w:kern w:val="2"/>
          <w:szCs w:val="30"/>
          <w:lang w:eastAsia="zh-CN"/>
        </w:rPr>
        <w:t>8名按相关规定晋升高级工职业技能等级，已具有高级工职业资格或职业技能等级的，可晋升技师职业技能等级</w:t>
      </w:r>
      <w:r>
        <w:rPr>
          <w:rFonts w:ascii="仿宋_GB2312" w:hAnsi="仿宋_GB2312" w:cs="仿宋_GB2312"/>
          <w:kern w:val="2"/>
          <w:szCs w:val="30"/>
          <w:lang w:eastAsia="zh-CN"/>
        </w:rPr>
        <w:t>（</w:t>
      </w:r>
      <w:r>
        <w:rPr>
          <w:rFonts w:hint="eastAsia" w:ascii="仿宋_GB2312" w:hAnsi="仿宋_GB2312" w:cs="仿宋_GB2312"/>
          <w:kern w:val="2"/>
          <w:szCs w:val="30"/>
          <w:lang w:eastAsia="zh-CN"/>
        </w:rPr>
        <w:t>学生组最高至高级工）。</w:t>
      </w:r>
    </w:p>
    <w:p>
      <w:pPr>
        <w:autoSpaceDE/>
        <w:autoSpaceDN/>
        <w:ind w:firstLine="560"/>
        <w:rPr>
          <w:rFonts w:ascii="仿宋_GB2312" w:hAnsi="仿宋_GB2312" w:cs="仿宋_GB2312"/>
          <w:kern w:val="2"/>
          <w:szCs w:val="30"/>
          <w:lang w:eastAsia="zh-CN"/>
        </w:rPr>
      </w:pPr>
      <w:r>
        <w:rPr>
          <w:rFonts w:ascii="仿宋_GB2312" w:hAnsi="仿宋_GB2312" w:cs="仿宋_GB2312"/>
          <w:kern w:val="2"/>
          <w:szCs w:val="30"/>
          <w:lang w:eastAsia="zh-CN"/>
        </w:rPr>
        <w:t>（3）</w:t>
      </w:r>
      <w:r>
        <w:rPr>
          <w:rFonts w:hint="eastAsia" w:ascii="仿宋_GB2312" w:hAnsi="仿宋_GB2312" w:cs="仿宋_GB2312"/>
          <w:kern w:val="2"/>
          <w:szCs w:val="30"/>
          <w:lang w:eastAsia="zh-CN"/>
        </w:rPr>
        <w:t>对各赛项各组别全国决赛一、二、三等奖获得者的教练</w:t>
      </w:r>
      <w:r>
        <w:rPr>
          <w:rFonts w:ascii="仿宋_GB2312" w:hAnsi="仿宋_GB2312" w:cs="仿宋_GB2312"/>
          <w:kern w:val="2"/>
          <w:szCs w:val="30"/>
          <w:lang w:eastAsia="zh-CN"/>
        </w:rPr>
        <w:t>（每支参赛队选定1名教练）</w:t>
      </w:r>
      <w:r>
        <w:rPr>
          <w:rFonts w:hint="eastAsia" w:ascii="仿宋_GB2312" w:hAnsi="仿宋_GB2312" w:cs="仿宋_GB2312"/>
          <w:kern w:val="2"/>
          <w:szCs w:val="30"/>
          <w:lang w:eastAsia="zh-CN"/>
        </w:rPr>
        <w:t>，由大赛组委会办公室颁发“优秀教练”荣誉证书。</w:t>
      </w:r>
    </w:p>
    <w:p>
      <w:pPr>
        <w:ind w:firstLine="560"/>
        <w:rPr>
          <w:rFonts w:ascii="仿宋_GB2312" w:hAnsi="仿宋_GB2312" w:cs="仿宋_GB2312"/>
          <w:szCs w:val="30"/>
          <w:lang w:eastAsia="zh-CN"/>
        </w:rPr>
      </w:pPr>
      <w:r>
        <w:rPr>
          <w:rFonts w:ascii="仿宋_GB2312" w:hAnsi="仿宋_GB2312" w:cs="仿宋_GB2312"/>
          <w:szCs w:val="30"/>
          <w:lang w:eastAsia="zh-CN"/>
        </w:rPr>
        <w:t>（4）</w:t>
      </w:r>
      <w:r>
        <w:rPr>
          <w:rFonts w:hint="eastAsia" w:ascii="仿宋_GB2312" w:hAnsi="仿宋_GB2312" w:cs="仿宋_GB2312"/>
          <w:szCs w:val="30"/>
          <w:lang w:eastAsia="zh-CN"/>
        </w:rPr>
        <w:t>对在全国决赛执裁工作中表现突出的个人，由大赛组委会办公室颁发“优秀裁判员”荣誉证书。</w:t>
      </w:r>
    </w:p>
    <w:p>
      <w:pPr>
        <w:ind w:firstLine="560"/>
        <w:rPr>
          <w:rFonts w:ascii="仿宋_GB2312" w:hAnsi="仿宋_GB2312" w:cs="仿宋_GB2312"/>
          <w:szCs w:val="30"/>
          <w:lang w:eastAsia="zh-CN"/>
        </w:rPr>
      </w:pPr>
      <w:r>
        <w:rPr>
          <w:rFonts w:ascii="仿宋_GB2312" w:hAnsi="仿宋_GB2312" w:cs="仿宋_GB2312"/>
          <w:szCs w:val="30"/>
          <w:lang w:eastAsia="zh-CN"/>
        </w:rPr>
        <w:t>（5）</w:t>
      </w:r>
      <w:r>
        <w:rPr>
          <w:rFonts w:hint="eastAsia" w:ascii="仿宋_GB2312" w:hAnsi="仿宋_GB2312" w:cs="仿宋_GB2312"/>
          <w:szCs w:val="30"/>
          <w:lang w:eastAsia="zh-CN"/>
        </w:rPr>
        <w:t>对在全国决赛组织工作中表现突出的个人，由大赛组委会办公室颁发“优秀工作者”荣誉证书。</w:t>
      </w:r>
    </w:p>
    <w:p>
      <w:pPr>
        <w:ind w:firstLine="560"/>
        <w:rPr>
          <w:rFonts w:ascii="仿宋_GB2312" w:hAnsi="仿宋_GB2312" w:cs="仿宋_GB2312"/>
          <w:szCs w:val="30"/>
          <w:lang w:eastAsia="zh-CN"/>
        </w:rPr>
      </w:pPr>
      <w:r>
        <w:rPr>
          <w:rFonts w:ascii="仿宋_GB2312" w:hAnsi="仿宋_GB2312" w:cs="仿宋_GB2312"/>
          <w:szCs w:val="30"/>
          <w:lang w:eastAsia="zh-CN"/>
        </w:rPr>
        <w:t>（6）</w:t>
      </w:r>
      <w:r>
        <w:rPr>
          <w:rFonts w:hint="eastAsia" w:ascii="仿宋_GB2312" w:hAnsi="仿宋_GB2312" w:cs="仿宋_GB2312"/>
          <w:szCs w:val="30"/>
          <w:lang w:eastAsia="zh-CN"/>
        </w:rPr>
        <w:t>对省级选拔赛组织工作和决赛成绩表现突出的代表队，由大赛组委会办公室颁发“优秀组织单位”奖牌和获奖证书。</w:t>
      </w:r>
    </w:p>
    <w:p>
      <w:pPr>
        <w:ind w:firstLine="560"/>
        <w:rPr>
          <w:rFonts w:ascii="仿宋_GB2312" w:hAnsi="仿宋_GB2312" w:cs="仿宋_GB2312"/>
          <w:szCs w:val="30"/>
          <w:lang w:eastAsia="zh-CN"/>
        </w:rPr>
      </w:pPr>
      <w:r>
        <w:rPr>
          <w:rFonts w:ascii="仿宋_GB2312" w:hAnsi="仿宋_GB2312" w:cs="仿宋_GB2312"/>
          <w:szCs w:val="30"/>
          <w:lang w:eastAsia="zh-CN"/>
        </w:rPr>
        <w:t>（7）</w:t>
      </w:r>
      <w:r>
        <w:rPr>
          <w:rFonts w:hint="eastAsia" w:ascii="仿宋_GB2312" w:hAnsi="仿宋_GB2312" w:cs="仿宋_GB2312"/>
          <w:szCs w:val="30"/>
          <w:lang w:eastAsia="zh-CN"/>
        </w:rPr>
        <w:t>对贡献突出的承办、协办和技术支持单位，由大赛组委会办公室颁发“突出贡献单位”奖牌和获奖证书。</w:t>
      </w:r>
    </w:p>
    <w:p>
      <w:pPr>
        <w:pStyle w:val="3"/>
        <w:rPr>
          <w:lang w:eastAsia="zh-CN"/>
        </w:rPr>
      </w:pPr>
      <w:bookmarkStart w:id="120" w:name="_Toc8728"/>
      <w:bookmarkStart w:id="121" w:name="_Toc32436"/>
      <w:bookmarkStart w:id="122" w:name="_Toc142493497"/>
      <w:bookmarkStart w:id="123" w:name="_Toc108109243"/>
      <w:r>
        <w:rPr>
          <w:rFonts w:hint="eastAsia"/>
          <w:lang w:eastAsia="zh-CN"/>
        </w:rPr>
        <w:t>5大赛竞赛流程</w:t>
      </w:r>
      <w:bookmarkEnd w:id="120"/>
      <w:bookmarkEnd w:id="121"/>
      <w:bookmarkEnd w:id="122"/>
      <w:bookmarkEnd w:id="123"/>
    </w:p>
    <w:p>
      <w:pPr>
        <w:pStyle w:val="4"/>
        <w:rPr>
          <w:lang w:eastAsia="zh-CN"/>
        </w:rPr>
      </w:pPr>
      <w:bookmarkStart w:id="124" w:name="_Toc108109244"/>
      <w:bookmarkStart w:id="125" w:name="_Toc31128"/>
      <w:bookmarkStart w:id="126" w:name="_Toc31343"/>
      <w:bookmarkStart w:id="127" w:name="_Toc142493498"/>
      <w:r>
        <w:rPr>
          <w:rFonts w:hint="eastAsia"/>
          <w:lang w:eastAsia="zh-CN"/>
        </w:rPr>
        <w:t>5.1场次安排</w:t>
      </w:r>
      <w:bookmarkEnd w:id="124"/>
      <w:bookmarkEnd w:id="125"/>
      <w:bookmarkEnd w:id="126"/>
      <w:bookmarkEnd w:id="127"/>
    </w:p>
    <w:p>
      <w:pPr>
        <w:ind w:firstLine="560"/>
        <w:rPr>
          <w:rFonts w:ascii="仿宋_GB2312" w:cs="Times New Roman"/>
          <w:szCs w:val="24"/>
          <w:lang w:eastAsia="zh-CN"/>
        </w:rPr>
      </w:pPr>
      <w:r>
        <w:rPr>
          <w:rFonts w:hint="eastAsia" w:ascii="仿宋_GB2312" w:cs="Times New Roman"/>
          <w:szCs w:val="24"/>
          <w:lang w:eastAsia="zh-CN"/>
        </w:rPr>
        <w:t>根据参赛选手报名人数和设备数量而定。</w:t>
      </w:r>
    </w:p>
    <w:p>
      <w:pPr>
        <w:pStyle w:val="4"/>
        <w:rPr>
          <w:lang w:eastAsia="zh-CN"/>
        </w:rPr>
      </w:pPr>
      <w:bookmarkStart w:id="128" w:name="_Toc142493499"/>
      <w:bookmarkStart w:id="129" w:name="_Toc6933"/>
      <w:bookmarkStart w:id="130" w:name="_Toc108109245"/>
      <w:bookmarkStart w:id="131" w:name="_Toc18032"/>
      <w:r>
        <w:rPr>
          <w:rFonts w:hint="eastAsia"/>
          <w:lang w:eastAsia="zh-CN"/>
        </w:rPr>
        <w:t>5.2场次和工位抽签</w:t>
      </w:r>
      <w:bookmarkEnd w:id="128"/>
      <w:bookmarkEnd w:id="129"/>
      <w:bookmarkEnd w:id="130"/>
      <w:bookmarkEnd w:id="131"/>
    </w:p>
    <w:p>
      <w:pPr>
        <w:ind w:firstLine="560"/>
        <w:rPr>
          <w:rFonts w:ascii="仿宋_GB2312" w:cs="Times New Roman"/>
          <w:szCs w:val="24"/>
          <w:lang w:eastAsia="zh-CN"/>
        </w:rPr>
      </w:pPr>
      <w:r>
        <w:rPr>
          <w:rFonts w:hint="eastAsia" w:ascii="仿宋_GB2312" w:cs="Times New Roman"/>
          <w:szCs w:val="24"/>
          <w:lang w:eastAsia="zh-CN"/>
        </w:rPr>
        <w:t>竞赛前，由技术工作委员会统筹考虑参赛人数和设备台套数，确定竞赛场次，工位抽签在赛前30分钟进行。</w:t>
      </w:r>
    </w:p>
    <w:p>
      <w:pPr>
        <w:pStyle w:val="4"/>
        <w:rPr>
          <w:lang w:eastAsia="zh-CN"/>
        </w:rPr>
      </w:pPr>
      <w:bookmarkStart w:id="132" w:name="_Toc11217"/>
      <w:bookmarkStart w:id="133" w:name="_Toc108109246"/>
      <w:bookmarkStart w:id="134" w:name="_Toc142493500"/>
      <w:bookmarkStart w:id="135" w:name="_Toc16587"/>
      <w:r>
        <w:rPr>
          <w:rFonts w:hint="eastAsia"/>
          <w:lang w:eastAsia="zh-CN"/>
        </w:rPr>
        <w:t>5.3日程安排</w:t>
      </w:r>
      <w:bookmarkEnd w:id="132"/>
      <w:bookmarkEnd w:id="133"/>
      <w:bookmarkEnd w:id="134"/>
      <w:bookmarkEnd w:id="135"/>
    </w:p>
    <w:p>
      <w:pPr>
        <w:ind w:firstLine="560"/>
        <w:rPr>
          <w:rFonts w:ascii="仿宋_GB2312" w:cs="Times New Roman"/>
          <w:szCs w:val="24"/>
          <w:lang w:eastAsia="zh-CN"/>
        </w:rPr>
      </w:pPr>
      <w:r>
        <w:rPr>
          <w:rFonts w:hint="eastAsia" w:ascii="仿宋_GB2312" w:cs="Times New Roman"/>
          <w:szCs w:val="24"/>
          <w:lang w:eastAsia="zh-CN"/>
        </w:rPr>
        <w:t>竞赛前将根据参赛人数、竞赛批次等做出详细日程表，日程安排另行公布。</w:t>
      </w:r>
    </w:p>
    <w:p>
      <w:pPr>
        <w:pStyle w:val="3"/>
        <w:rPr>
          <w:lang w:eastAsia="zh-CN"/>
        </w:rPr>
      </w:pPr>
      <w:bookmarkStart w:id="136" w:name="_Toc24133"/>
      <w:bookmarkStart w:id="137" w:name="_Toc142493501"/>
      <w:bookmarkStart w:id="138" w:name="_Toc22274"/>
      <w:bookmarkStart w:id="139" w:name="_Toc108109247"/>
      <w:r>
        <w:rPr>
          <w:rFonts w:hint="eastAsia"/>
          <w:lang w:eastAsia="zh-CN"/>
        </w:rPr>
        <w:t>6申诉与仲裁</w:t>
      </w:r>
      <w:bookmarkEnd w:id="136"/>
      <w:bookmarkEnd w:id="137"/>
      <w:bookmarkEnd w:id="138"/>
      <w:bookmarkEnd w:id="139"/>
    </w:p>
    <w:p>
      <w:pPr>
        <w:ind w:firstLine="560"/>
        <w:rPr>
          <w:rFonts w:ascii="仿宋_GB2312" w:cs="Times New Roman"/>
          <w:szCs w:val="24"/>
          <w:lang w:eastAsia="zh-CN"/>
        </w:rPr>
      </w:pPr>
      <w:r>
        <w:rPr>
          <w:rFonts w:hint="eastAsia" w:ascii="仿宋_GB2312" w:cs="Times New Roman"/>
          <w:szCs w:val="24"/>
          <w:lang w:eastAsia="zh-CN"/>
        </w:rPr>
        <w:t>本赛项在竞赛过程中若出现有失公正或有关人员违规等现象，各省级代表队领队可在本场竞赛结束后2小时之内向监督仲裁组提出书面申诉。大赛组委会选派人员参加监督仲裁工作，监督仲裁工作组在接到申诉后的2小时内组织复议，并及时反馈仲裁结果，仲裁结果为最终结果。</w:t>
      </w:r>
    </w:p>
    <w:p>
      <w:pPr>
        <w:pStyle w:val="2"/>
        <w:rPr>
          <w:lang w:eastAsia="zh-CN"/>
        </w:rPr>
      </w:pPr>
      <w:bookmarkStart w:id="140" w:name="_Toc142493502"/>
      <w:bookmarkStart w:id="141" w:name="_Toc4776"/>
      <w:bookmarkStart w:id="142" w:name="_Toc108109248"/>
      <w:bookmarkStart w:id="143" w:name="_Toc107987984"/>
      <w:r>
        <w:rPr>
          <w:rFonts w:hint="eastAsia"/>
          <w:lang w:eastAsia="zh-CN"/>
        </w:rPr>
        <w:t>二、竞赛基础要求</w:t>
      </w:r>
      <w:bookmarkEnd w:id="140"/>
      <w:bookmarkEnd w:id="141"/>
      <w:bookmarkEnd w:id="142"/>
      <w:bookmarkEnd w:id="143"/>
    </w:p>
    <w:p>
      <w:pPr>
        <w:pStyle w:val="3"/>
        <w:rPr>
          <w:lang w:eastAsia="zh-CN"/>
        </w:rPr>
      </w:pPr>
      <w:bookmarkStart w:id="144" w:name="_Toc30647"/>
      <w:bookmarkStart w:id="145" w:name="_Toc142493503"/>
      <w:bookmarkStart w:id="146" w:name="_Toc108109249"/>
      <w:r>
        <w:rPr>
          <w:lang w:eastAsia="zh-CN"/>
        </w:rPr>
        <w:t>7 大赛基础设施</w:t>
      </w:r>
      <w:bookmarkEnd w:id="144"/>
      <w:bookmarkEnd w:id="145"/>
      <w:bookmarkEnd w:id="146"/>
    </w:p>
    <w:p>
      <w:pPr>
        <w:pStyle w:val="4"/>
        <w:rPr>
          <w:lang w:eastAsia="zh-CN"/>
        </w:rPr>
      </w:pPr>
      <w:bookmarkStart w:id="147" w:name="_Toc108109250"/>
      <w:bookmarkStart w:id="148" w:name="_Toc2001"/>
      <w:bookmarkStart w:id="149" w:name="_Toc142493504"/>
      <w:r>
        <w:rPr>
          <w:lang w:eastAsia="zh-CN"/>
        </w:rPr>
        <w:t>7.1 竞赛平台条件</w:t>
      </w:r>
      <w:bookmarkEnd w:id="147"/>
      <w:bookmarkEnd w:id="148"/>
      <w:bookmarkEnd w:id="149"/>
    </w:p>
    <w:p>
      <w:pPr>
        <w:ind w:firstLine="600"/>
        <w:rPr>
          <w:sz w:val="30"/>
          <w:lang w:eastAsia="zh-CN"/>
        </w:rPr>
      </w:pPr>
      <w:r>
        <w:rPr>
          <w:rFonts w:hint="eastAsia" w:ascii="仿宋_GB2312" w:hAnsi="仿宋_GB2312" w:cs="仿宋_GB2312"/>
          <w:kern w:val="2"/>
          <w:sz w:val="30"/>
          <w:szCs w:val="30"/>
          <w:lang w:eastAsia="zh-CN"/>
        </w:rPr>
        <w:t>本竞赛平台面向</w:t>
      </w:r>
      <w:r>
        <w:rPr>
          <w:rFonts w:hint="eastAsia" w:ascii="仿宋_GB2312" w:hAnsi="仿宋_GB2312" w:cs="仿宋_GB2312"/>
          <w:szCs w:val="28"/>
          <w:lang w:eastAsia="zh-CN"/>
        </w:rPr>
        <w:t>智能制造产线电子设备装调、测试与运维，依据电子设备调试工、仪器仪表制造工的职业标准，</w:t>
      </w:r>
      <w:r>
        <w:rPr>
          <w:rFonts w:hint="eastAsia" w:ascii="仿宋_GB2312" w:hAnsi="仿宋_GB2312" w:cs="仿宋_GB2312"/>
          <w:kern w:val="2"/>
          <w:szCs w:val="28"/>
          <w:lang w:eastAsia="zh-CN"/>
        </w:rPr>
        <w:t>突出测控技术与仪器仪表在数智转型的新兴技术领域关键作用，选取新能源电池模组产线的视觉检测、压装、焊接、AGV运载、搬运、仓储管理等应用场景，</w:t>
      </w:r>
      <w:r>
        <w:rPr>
          <w:rFonts w:ascii="仿宋_GB2312" w:hAnsi="仿宋_GB2312" w:cs="仿宋_GB2312"/>
          <w:kern w:val="2"/>
          <w:szCs w:val="28"/>
          <w:lang w:eastAsia="zh-CN"/>
        </w:rPr>
        <w:t>以智能</w:t>
      </w:r>
      <w:r>
        <w:rPr>
          <w:rFonts w:hint="eastAsia" w:ascii="仿宋_GB2312" w:hAnsi="仿宋_GB2312" w:cs="仿宋_GB2312"/>
          <w:kern w:val="2"/>
          <w:szCs w:val="28"/>
          <w:lang w:eastAsia="zh-CN"/>
        </w:rPr>
        <w:t>制造产线电子设备装调、数据监测、生产管控与运维</w:t>
      </w:r>
      <w:r>
        <w:rPr>
          <w:rFonts w:ascii="仿宋_GB2312" w:hAnsi="仿宋_GB2312" w:cs="仿宋_GB2312"/>
          <w:kern w:val="2"/>
          <w:szCs w:val="28"/>
          <w:lang w:eastAsia="zh-CN"/>
        </w:rPr>
        <w:t>为实施目标，</w:t>
      </w:r>
      <w:r>
        <w:rPr>
          <w:rFonts w:hint="eastAsia" w:ascii="仿宋_GB2312" w:hAnsi="仿宋_GB2312" w:cs="仿宋_GB2312"/>
          <w:kern w:val="2"/>
          <w:szCs w:val="28"/>
          <w:lang w:eastAsia="zh-CN"/>
        </w:rPr>
        <w:t>可以完成电子设备组装与调试、设计编程与参数配置、数据采集与可视化应用、生产过程数智化应用、电子设备数智化运维等</w:t>
      </w:r>
      <w:r>
        <w:rPr>
          <w:rFonts w:ascii="仿宋_GB2312" w:hAnsi="仿宋_GB2312" w:cs="仿宋_GB2312"/>
          <w:kern w:val="2"/>
          <w:szCs w:val="28"/>
          <w:lang w:eastAsia="zh-CN"/>
        </w:rPr>
        <w:t>5</w:t>
      </w:r>
      <w:r>
        <w:rPr>
          <w:rFonts w:hint="eastAsia" w:ascii="仿宋_GB2312" w:hAnsi="仿宋_GB2312" w:cs="仿宋_GB2312"/>
          <w:kern w:val="2"/>
          <w:szCs w:val="28"/>
          <w:lang w:eastAsia="zh-CN"/>
        </w:rPr>
        <w:t>项竞赛任务，实现</w:t>
      </w:r>
      <w:r>
        <w:rPr>
          <w:rFonts w:ascii="仿宋_GB2312" w:hAnsi="仿宋_GB2312" w:cs="仿宋_GB2312"/>
          <w:kern w:val="2"/>
          <w:szCs w:val="28"/>
          <w:lang w:eastAsia="zh-CN"/>
        </w:rPr>
        <w:t>智能</w:t>
      </w:r>
      <w:r>
        <w:rPr>
          <w:rFonts w:hint="eastAsia" w:ascii="仿宋_GB2312" w:hAnsi="仿宋_GB2312" w:cs="仿宋_GB2312"/>
          <w:kern w:val="2"/>
          <w:szCs w:val="28"/>
          <w:lang w:eastAsia="zh-CN"/>
        </w:rPr>
        <w:t>制造产线电子设备的组装调试、设计编程、参数配置、数据采集、过程监控和数智运维，综合体现数字化与智能化、数字感知与信息集成应用特色。</w:t>
      </w:r>
    </w:p>
    <w:p>
      <w:pPr>
        <w:ind w:firstLine="560"/>
        <w:rPr>
          <w:rFonts w:cs="Times New Roman"/>
          <w:szCs w:val="24"/>
          <w:lang w:eastAsia="zh-CN"/>
        </w:rPr>
      </w:pPr>
      <w:r>
        <w:rPr>
          <w:rFonts w:hint="eastAsia" w:cs="Times New Roman"/>
          <w:szCs w:val="24"/>
          <w:lang w:eastAsia="zh-CN"/>
        </w:rPr>
        <w:t>电子设备调试工（系统测试与运维方向）竞赛平台总布局参考图如图1所示，</w:t>
      </w:r>
      <w:r>
        <w:rPr>
          <w:rFonts w:hint="eastAsia" w:cs="Times New Roman"/>
          <w:szCs w:val="28"/>
          <w:lang w:eastAsia="zh-CN"/>
        </w:rPr>
        <w:t>包含PLC控制系统、HMI触摸屏、无线传感器、温湿度传感器、电能表、RFID读写器、电位计、噪声变送器、语音报警器、扫码组件、步进电机、伺服电机、焊接执行单元、LORA组件、串口服务器、路由器、工业智能网关、编程工作站、智能产线设计与虚拟调试软件、工业物联网平台、制造执行系统(MES)、设备零故障管理系统</w:t>
      </w:r>
      <w:bookmarkStart w:id="150" w:name="_Hlk144664553"/>
      <w:r>
        <w:rPr>
          <w:rFonts w:hint="eastAsia" w:cs="Times New Roman"/>
          <w:szCs w:val="28"/>
          <w:lang w:eastAsia="zh-CN"/>
        </w:rPr>
        <w:t>、</w:t>
      </w:r>
      <w:r>
        <w:rPr>
          <w:rFonts w:hint="eastAsia" w:cs="Times New Roman"/>
          <w:sz w:val="30"/>
          <w:szCs w:val="24"/>
          <w:lang w:eastAsia="zh-CN"/>
        </w:rPr>
        <w:t>在线竞赛系统、辅助监考系统等</w:t>
      </w:r>
      <w:r>
        <w:rPr>
          <w:rFonts w:cs="Times New Roman"/>
          <w:sz w:val="30"/>
          <w:szCs w:val="24"/>
          <w:lang w:eastAsia="zh-CN"/>
        </w:rPr>
        <w:t>。</w:t>
      </w:r>
      <w:bookmarkEnd w:id="150"/>
    </w:p>
    <w:p>
      <w:pPr>
        <w:pStyle w:val="21"/>
        <w:rPr>
          <w:rFonts w:ascii="仿宋_GB2312" w:hAnsi="仿宋_GB2312" w:cs="仿宋_GB2312"/>
          <w:b/>
          <w:kern w:val="2"/>
          <w:szCs w:val="24"/>
        </w:rPr>
      </w:pPr>
      <w:bookmarkStart w:id="151" w:name="_Toc107987987"/>
      <w:bookmarkStart w:id="152" w:name="_Toc522715731"/>
      <w:r>
        <w:rPr>
          <w:rFonts w:ascii="仿宋_GB2312" w:hAnsi="仿宋" w:cs="Arial"/>
          <w:szCs w:val="30"/>
        </w:rPr>
        <w:drawing>
          <wp:inline distT="0" distB="0" distL="114300" distR="114300">
            <wp:extent cx="4622800" cy="3199130"/>
            <wp:effectExtent l="0" t="0" r="0" b="1270"/>
            <wp:docPr id="3" name="图片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
                    <pic:cNvPicPr>
                      <a:picLocks noChangeAspect="1"/>
                    </pic:cNvPicPr>
                  </pic:nvPicPr>
                  <pic:blipFill>
                    <a:blip r:embed="rId15"/>
                    <a:srcRect l="18578" t="7435" r="15238" b="11144"/>
                    <a:stretch>
                      <a:fillRect/>
                    </a:stretch>
                  </pic:blipFill>
                  <pic:spPr>
                    <a:xfrm>
                      <a:off x="0" y="0"/>
                      <a:ext cx="4622800" cy="3199130"/>
                    </a:xfrm>
                    <a:prstGeom prst="rect">
                      <a:avLst/>
                    </a:prstGeom>
                  </pic:spPr>
                </pic:pic>
              </a:graphicData>
            </a:graphic>
          </wp:inline>
        </w:drawing>
      </w:r>
    </w:p>
    <w:p>
      <w:pPr>
        <w:pStyle w:val="21"/>
      </w:pPr>
      <w:r>
        <w:rPr>
          <w:rFonts w:hint="eastAsia"/>
        </w:rPr>
        <w:t>图1电子设备调试工（系统测试与运维方向）竞赛平台总布局参考图</w:t>
      </w:r>
    </w:p>
    <w:p>
      <w:pPr>
        <w:pStyle w:val="4"/>
        <w:rPr>
          <w:lang w:eastAsia="zh-CN"/>
        </w:rPr>
      </w:pPr>
      <w:bookmarkStart w:id="153" w:name="_Toc2018"/>
      <w:bookmarkStart w:id="154" w:name="_Toc142493505"/>
      <w:r>
        <w:rPr>
          <w:rFonts w:hint="eastAsia"/>
          <w:lang w:eastAsia="zh-CN"/>
        </w:rPr>
        <w:t>7.2赛场设备主要配置清单</w:t>
      </w:r>
      <w:bookmarkEnd w:id="151"/>
      <w:bookmarkEnd w:id="152"/>
      <w:bookmarkEnd w:id="153"/>
      <w:bookmarkEnd w:id="154"/>
    </w:p>
    <w:p>
      <w:pPr>
        <w:ind w:firstLine="560"/>
        <w:rPr>
          <w:rFonts w:ascii="仿宋_GB2312" w:hAnsi="仿宋" w:cs="Arial"/>
          <w:color w:val="FF0000"/>
          <w:szCs w:val="30"/>
          <w:lang w:eastAsia="zh-CN"/>
        </w:rPr>
      </w:pPr>
      <w:r>
        <w:rPr>
          <w:rFonts w:hint="eastAsia" w:ascii="仿宋_GB2312" w:hAnsi="仿宋" w:cs="Arial"/>
          <w:szCs w:val="30"/>
          <w:lang w:eastAsia="zh-CN"/>
        </w:rPr>
        <w:t>电子设备调试工（系统测试与运维方向）竞赛平台主要配置清单如表</w:t>
      </w:r>
      <w:r>
        <w:rPr>
          <w:rFonts w:ascii="仿宋_GB2312" w:hAnsi="仿宋" w:cs="Arial"/>
          <w:szCs w:val="30"/>
          <w:lang w:eastAsia="zh-CN"/>
        </w:rPr>
        <w:t>2</w:t>
      </w:r>
      <w:r>
        <w:rPr>
          <w:rFonts w:hint="eastAsia" w:ascii="仿宋_GB2312" w:hAnsi="仿宋" w:cs="Arial"/>
          <w:szCs w:val="30"/>
          <w:lang w:eastAsia="zh-CN"/>
        </w:rPr>
        <w:t>所示。</w:t>
      </w:r>
    </w:p>
    <w:p>
      <w:pPr>
        <w:pStyle w:val="21"/>
      </w:pPr>
      <w:r>
        <w:rPr>
          <w:rFonts w:hint="eastAsia"/>
        </w:rPr>
        <w:t>表</w:t>
      </w:r>
      <w:r>
        <w:t>2</w:t>
      </w:r>
      <w:r>
        <w:rPr>
          <w:rFonts w:hint="eastAsia"/>
        </w:rPr>
        <w:t>电子设备调试工（系统测试与运维方向）竞赛平台主要配置清单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667"/>
        <w:gridCol w:w="820"/>
        <w:gridCol w:w="880"/>
        <w:gridCol w:w="2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ind w:firstLine="0" w:firstLineChars="0"/>
              <w:rPr>
                <w:rFonts w:ascii="仿宋_GB2312" w:cs="仿宋_GB2312"/>
                <w:b/>
                <w:kern w:val="2"/>
                <w:sz w:val="30"/>
                <w:szCs w:val="30"/>
                <w:lang w:eastAsia="zh-CN"/>
              </w:rPr>
            </w:pPr>
            <w:bookmarkStart w:id="155" w:name="_TOC_300024"/>
            <w:bookmarkStart w:id="156" w:name="_Toc108109251"/>
            <w:r>
              <w:rPr>
                <w:rFonts w:ascii="仿宋_GB2312" w:hAnsi="Calibri" w:cs="仿宋_GB2312"/>
                <w:b/>
                <w:kern w:val="2"/>
                <w:sz w:val="30"/>
                <w:szCs w:val="30"/>
                <w:lang w:eastAsia="zh-CN" w:bidi="ar"/>
              </w:rPr>
              <w:t>序号</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ind w:firstLine="0" w:firstLineChars="0"/>
              <w:jc w:val="center"/>
              <w:rPr>
                <w:rFonts w:ascii="仿宋_GB2312" w:cs="仿宋_GB2312"/>
                <w:b/>
                <w:kern w:val="2"/>
                <w:sz w:val="30"/>
                <w:szCs w:val="30"/>
                <w:lang w:eastAsia="zh-CN"/>
              </w:rPr>
            </w:pPr>
            <w:r>
              <w:rPr>
                <w:rFonts w:ascii="仿宋_GB2312" w:hAnsi="Calibri" w:cs="仿宋_GB2312"/>
                <w:b/>
                <w:kern w:val="2"/>
                <w:sz w:val="30"/>
                <w:szCs w:val="30"/>
                <w:lang w:eastAsia="zh-CN" w:bidi="ar"/>
              </w:rPr>
              <w:t>设备名称</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ind w:firstLine="0" w:firstLineChars="0"/>
              <w:rPr>
                <w:rFonts w:ascii="仿宋_GB2312" w:cs="仿宋_GB2312"/>
                <w:b/>
                <w:kern w:val="2"/>
                <w:sz w:val="30"/>
                <w:szCs w:val="30"/>
                <w:lang w:eastAsia="zh-CN"/>
              </w:rPr>
            </w:pPr>
            <w:r>
              <w:rPr>
                <w:rFonts w:ascii="仿宋_GB2312" w:hAnsi="Calibri" w:cs="仿宋_GB2312"/>
                <w:b/>
                <w:kern w:val="2"/>
                <w:sz w:val="30"/>
                <w:szCs w:val="30"/>
                <w:lang w:eastAsia="zh-CN" w:bidi="ar"/>
              </w:rPr>
              <w:t>数量</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ind w:firstLine="0" w:firstLineChars="0"/>
              <w:rPr>
                <w:rFonts w:ascii="仿宋_GB2312" w:cs="仿宋_GB2312"/>
                <w:b/>
                <w:kern w:val="2"/>
                <w:sz w:val="30"/>
                <w:szCs w:val="30"/>
                <w:lang w:eastAsia="zh-CN"/>
              </w:rPr>
            </w:pPr>
            <w:r>
              <w:rPr>
                <w:rFonts w:ascii="仿宋_GB2312" w:hAnsi="Calibri" w:cs="仿宋_GB2312"/>
                <w:b/>
                <w:kern w:val="2"/>
                <w:sz w:val="30"/>
                <w:szCs w:val="30"/>
                <w:lang w:eastAsia="zh-CN" w:bidi="ar"/>
              </w:rPr>
              <w:t>单位</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ind w:firstLine="0" w:firstLineChars="0"/>
              <w:jc w:val="center"/>
              <w:rPr>
                <w:rFonts w:ascii="仿宋_GB2312" w:cs="仿宋_GB2312"/>
                <w:b/>
                <w:kern w:val="2"/>
                <w:sz w:val="30"/>
                <w:szCs w:val="30"/>
                <w:lang w:eastAsia="zh-CN"/>
              </w:rPr>
            </w:pPr>
            <w:r>
              <w:rPr>
                <w:rFonts w:ascii="仿宋_GB2312" w:hAnsi="Calibri" w:cs="仿宋_GB2312"/>
                <w:b/>
                <w:kern w:val="2"/>
                <w:sz w:val="30"/>
                <w:szCs w:val="30"/>
                <w:lang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PLC控制系统</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hint="eastAsia" w:ascii="仿宋_GB2312" w:hAnsi="Calibri" w:cs="仿宋_GB2312"/>
                <w:kern w:val="2"/>
                <w:sz w:val="24"/>
                <w:szCs w:val="24"/>
                <w:lang w:eastAsia="zh-CN" w:bidi="ar"/>
              </w:rPr>
              <w:t>2</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2</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HMI触摸屏</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hint="eastAsia" w:ascii="仿宋_GB2312" w:hAnsi="Calibri" w:cs="仿宋_GB2312"/>
                <w:kern w:val="2"/>
                <w:sz w:val="24"/>
                <w:szCs w:val="24"/>
                <w:lang w:eastAsia="zh-CN" w:bidi="ar"/>
              </w:rPr>
              <w:t>2</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3</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智能传感器</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4</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温湿度传感器</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5</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电能表</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6</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RFID读写器</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7</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电位计</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8</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噪声变送器</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9</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语音报警器</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10</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扫码组件</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11</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步进电机</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2</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12</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伺服电机</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13</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焊接执行单元</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14</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LORA组件</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15</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串口服务器</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16</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路由器</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2</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17</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工业智能网关</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18</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编程工作站</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hint="eastAsia" w:ascii="仿宋_GB2312" w:hAnsi="Calibri" w:cs="仿宋_GB2312"/>
                <w:kern w:val="2"/>
                <w:sz w:val="24"/>
                <w:szCs w:val="24"/>
                <w:lang w:eastAsia="zh-CN" w:bidi="ar"/>
              </w:rPr>
              <w:t>19</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智能产线设计与虚拟调试软件</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hint="eastAsia" w:ascii="仿宋_GB2312" w:hAnsi="Calibri" w:cs="仿宋_GB2312"/>
                <w:kern w:val="2"/>
                <w:sz w:val="24"/>
                <w:szCs w:val="24"/>
                <w:lang w:eastAsia="zh-CN" w:bidi="ar"/>
              </w:rPr>
              <w:t>20</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工业物联网平台</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hint="eastAsia" w:ascii="仿宋_GB2312" w:hAnsi="Calibri" w:cs="仿宋_GB2312"/>
                <w:kern w:val="2"/>
                <w:sz w:val="24"/>
                <w:szCs w:val="24"/>
                <w:lang w:eastAsia="zh-CN" w:bidi="ar"/>
              </w:rPr>
              <w:t>21</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制造执行系统(</w:t>
            </w:r>
            <w:r>
              <w:rPr>
                <w:rFonts w:ascii="仿宋_GB2312" w:hAnsi="Calibri" w:cs="仿宋_GB2312"/>
                <w:kern w:val="2"/>
                <w:sz w:val="24"/>
                <w:szCs w:val="24"/>
                <w:lang w:eastAsia="zh-CN" w:bidi="ar"/>
              </w:rPr>
              <w:t>MES)</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hint="eastAsia" w:ascii="仿宋_GB2312" w:hAnsi="Calibri" w:cs="仿宋_GB2312"/>
                <w:kern w:val="2"/>
                <w:sz w:val="24"/>
                <w:szCs w:val="24"/>
                <w:lang w:eastAsia="zh-CN" w:bidi="ar"/>
              </w:rPr>
              <w:t>22</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设备零故障管理系统</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23</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在线竞赛系统</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参考具体技术参数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24</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辅助监考系统</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hAnsi="Calibri" w:cs="仿宋_GB2312"/>
                <w:kern w:val="2"/>
                <w:sz w:val="24"/>
                <w:szCs w:val="24"/>
                <w:lang w:eastAsia="zh-CN" w:bidi="ar"/>
              </w:rPr>
            </w:pPr>
            <w:r>
              <w:rPr>
                <w:rFonts w:hint="eastAsia" w:ascii="仿宋_GB2312" w:hAnsi="Calibri" w:cs="仿宋_GB2312"/>
                <w:kern w:val="2"/>
                <w:sz w:val="24"/>
                <w:szCs w:val="24"/>
                <w:lang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套</w:t>
            </w:r>
          </w:p>
        </w:tc>
        <w:tc>
          <w:tcPr>
            <w:tcW w:w="261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spacing w:line="560" w:lineRule="exact"/>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参考具体技术参数</w:t>
            </w:r>
          </w:p>
        </w:tc>
      </w:tr>
    </w:tbl>
    <w:p>
      <w:pPr>
        <w:ind w:firstLine="560"/>
        <w:rPr>
          <w:rFonts w:ascii="仿宋_GB2312" w:hAnsi="仿宋_GB2312" w:cs="仿宋_GB2312"/>
          <w:szCs w:val="30"/>
          <w:lang w:eastAsia="zh-CN"/>
        </w:rPr>
      </w:pPr>
      <w:r>
        <w:rPr>
          <w:rFonts w:hint="eastAsia" w:ascii="仿宋_GB2312" w:hAnsi="仿宋_GB2312" w:cs="仿宋_GB2312"/>
          <w:szCs w:val="30"/>
          <w:lang w:eastAsia="zh-CN"/>
        </w:rPr>
        <w:t>赛场主要设备的技术参数详见《2023年全国行业职业技能竞赛——</w:t>
      </w:r>
      <w:r>
        <w:rPr>
          <w:rFonts w:ascii="仿宋" w:hAnsi="仿宋" w:eastAsia="仿宋" w:cs="仿宋_GB2312"/>
          <w:szCs w:val="30"/>
          <w:lang w:eastAsia="zh-CN"/>
        </w:rPr>
        <w:t>第三届全国仪器仪表行业职业技能竞赛</w:t>
      </w:r>
      <w:r>
        <w:rPr>
          <w:rFonts w:hint="eastAsia" w:ascii="仿宋" w:hAnsi="仿宋" w:eastAsia="仿宋" w:cs="仿宋_GB2312"/>
          <w:szCs w:val="30"/>
          <w:lang w:eastAsia="zh-CN"/>
        </w:rPr>
        <w:t>电子设备调试工（系统测试与运维方向）</w:t>
      </w:r>
      <w:r>
        <w:rPr>
          <w:rFonts w:hint="eastAsia" w:ascii="仿宋_GB2312" w:hAnsi="仿宋_GB2312" w:cs="仿宋_GB2312"/>
          <w:szCs w:val="30"/>
          <w:lang w:eastAsia="zh-CN"/>
        </w:rPr>
        <w:t>主要设备技术标准》。</w:t>
      </w:r>
    </w:p>
    <w:p>
      <w:pPr>
        <w:pStyle w:val="4"/>
        <w:rPr>
          <w:lang w:eastAsia="zh-CN"/>
        </w:rPr>
      </w:pPr>
      <w:bookmarkStart w:id="157" w:name="_Toc27652"/>
      <w:r>
        <w:rPr>
          <w:lang w:eastAsia="zh-CN"/>
        </w:rPr>
        <w:t xml:space="preserve">7.3 </w:t>
      </w:r>
      <w:r>
        <w:rPr>
          <w:rFonts w:hint="eastAsia"/>
          <w:lang w:eastAsia="zh-CN"/>
        </w:rPr>
        <w:t>赛场配套</w:t>
      </w:r>
      <w:r>
        <w:rPr>
          <w:lang w:eastAsia="zh-CN"/>
        </w:rPr>
        <w:t>的仪器和工具</w:t>
      </w:r>
      <w:bookmarkEnd w:id="157"/>
    </w:p>
    <w:p>
      <w:pPr>
        <w:ind w:firstLine="560"/>
        <w:rPr>
          <w:rFonts w:ascii="仿宋" w:hAnsi="仿宋" w:eastAsia="仿宋" w:cs="仿宋_GB2312"/>
          <w:szCs w:val="30"/>
          <w:lang w:eastAsia="zh-CN"/>
        </w:rPr>
      </w:pPr>
      <w:r>
        <w:rPr>
          <w:rFonts w:hint="eastAsia" w:ascii="仿宋" w:hAnsi="仿宋" w:eastAsia="仿宋" w:cs="仿宋_GB2312"/>
          <w:szCs w:val="30"/>
          <w:lang w:eastAsia="zh-CN"/>
        </w:rPr>
        <w:t>赛场配套的仪器和工具如表3所示。</w:t>
      </w:r>
    </w:p>
    <w:p>
      <w:pPr>
        <w:ind w:firstLine="480"/>
        <w:jc w:val="center"/>
        <w:rPr>
          <w:sz w:val="24"/>
          <w:szCs w:val="24"/>
          <w:lang w:eastAsia="zh-CN"/>
        </w:rPr>
      </w:pPr>
      <w:r>
        <w:rPr>
          <w:rFonts w:hint="eastAsia"/>
          <w:sz w:val="24"/>
          <w:szCs w:val="24"/>
          <w:lang w:eastAsia="zh-CN"/>
        </w:rPr>
        <w:t>表3赛场配套的仪器和工具清单</w:t>
      </w:r>
    </w:p>
    <w:tbl>
      <w:tblPr>
        <w:tblStyle w:val="15"/>
        <w:tblW w:w="4597" w:type="pct"/>
        <w:jc w:val="center"/>
        <w:tblLayout w:type="fixed"/>
        <w:tblCellMar>
          <w:top w:w="0" w:type="dxa"/>
          <w:left w:w="0" w:type="dxa"/>
          <w:bottom w:w="0" w:type="dxa"/>
          <w:right w:w="0" w:type="dxa"/>
        </w:tblCellMar>
      </w:tblPr>
      <w:tblGrid>
        <w:gridCol w:w="789"/>
        <w:gridCol w:w="3580"/>
        <w:gridCol w:w="2566"/>
        <w:gridCol w:w="1433"/>
      </w:tblGrid>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b/>
                <w:bCs/>
                <w:kern w:val="2"/>
                <w:sz w:val="30"/>
                <w:szCs w:val="30"/>
                <w:lang w:eastAsia="zh-CN"/>
              </w:rPr>
            </w:pPr>
            <w:r>
              <w:rPr>
                <w:rFonts w:ascii="仿宋_GB2312" w:hAnsi="Calibri" w:cs="仿宋_GB2312"/>
                <w:b/>
                <w:bCs/>
                <w:kern w:val="2"/>
                <w:sz w:val="30"/>
                <w:szCs w:val="30"/>
                <w:lang w:eastAsia="zh-CN" w:bidi="ar"/>
              </w:rPr>
              <w:t>序号</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b/>
                <w:bCs/>
                <w:kern w:val="2"/>
                <w:sz w:val="30"/>
                <w:szCs w:val="30"/>
                <w:lang w:eastAsia="zh-CN"/>
              </w:rPr>
            </w:pPr>
            <w:r>
              <w:rPr>
                <w:rFonts w:ascii="仿宋_GB2312" w:hAnsi="Calibri" w:cs="仿宋_GB2312"/>
                <w:b/>
                <w:bCs/>
                <w:kern w:val="2"/>
                <w:sz w:val="30"/>
                <w:szCs w:val="30"/>
                <w:lang w:eastAsia="zh-CN" w:bidi="ar"/>
              </w:rPr>
              <w:t>名称</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b/>
                <w:bCs/>
                <w:kern w:val="2"/>
                <w:sz w:val="30"/>
                <w:szCs w:val="30"/>
                <w:lang w:eastAsia="zh-CN"/>
              </w:rPr>
            </w:pPr>
            <w:r>
              <w:rPr>
                <w:rFonts w:ascii="仿宋_GB2312" w:hAnsi="Calibri" w:cs="仿宋_GB2312"/>
                <w:b/>
                <w:bCs/>
                <w:kern w:val="2"/>
                <w:sz w:val="30"/>
                <w:szCs w:val="30"/>
                <w:lang w:eastAsia="zh-CN" w:bidi="ar"/>
              </w:rPr>
              <w:t>规格型号</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b/>
                <w:bCs/>
                <w:kern w:val="2"/>
                <w:sz w:val="30"/>
                <w:szCs w:val="30"/>
                <w:lang w:eastAsia="zh-CN"/>
              </w:rPr>
            </w:pPr>
            <w:r>
              <w:rPr>
                <w:rFonts w:ascii="仿宋_GB2312" w:hAnsi="Calibri" w:cs="仿宋_GB2312"/>
                <w:b/>
                <w:bCs/>
                <w:kern w:val="2"/>
                <w:sz w:val="30"/>
                <w:szCs w:val="30"/>
                <w:lang w:eastAsia="zh-CN" w:bidi="ar"/>
              </w:rPr>
              <w:t>数量</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bookmarkStart w:id="158" w:name="_Hlk107732946"/>
            <w:r>
              <w:rPr>
                <w:rFonts w:ascii="仿宋_GB2312" w:hAnsi="Calibri" w:cs="仿宋_GB2312"/>
                <w:kern w:val="2"/>
                <w:sz w:val="24"/>
                <w:szCs w:val="24"/>
                <w:lang w:eastAsia="zh-CN" w:bidi="ar"/>
              </w:rPr>
              <w:t>螺丝刀套装</w:t>
            </w:r>
            <w:bookmarkEnd w:id="158"/>
            <w:r>
              <w:rPr>
                <w:rFonts w:ascii="仿宋_GB2312" w:hAnsi="Calibri" w:cs="仿宋_GB2312"/>
                <w:kern w:val="2"/>
                <w:sz w:val="24"/>
                <w:szCs w:val="24"/>
                <w:lang w:eastAsia="zh-CN" w:bidi="ar"/>
              </w:rPr>
              <w:t>(一字/十字)</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hint="eastAsia" w:ascii="仿宋_GB2312" w:hAnsi="Calibri" w:cs="仿宋_GB2312"/>
                <w:kern w:val="2"/>
                <w:sz w:val="24"/>
                <w:szCs w:val="24"/>
                <w:lang w:eastAsia="zh-CN" w:bidi="ar"/>
              </w:rPr>
              <w:t>3×75、5×150</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一套</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2</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剥线钳</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7寸</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一把</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3</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针形压线钳</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0.25-6</w:t>
            </w:r>
            <w:r>
              <w:rPr>
                <w:rFonts w:hint="eastAsia" w:ascii="仿宋_GB2312" w:hAnsi="Calibri" w:cs="仿宋_GB2312"/>
                <w:kern w:val="2"/>
                <w:sz w:val="24"/>
                <w:szCs w:val="24"/>
                <w:lang w:eastAsia="zh-CN" w:bidi="ar"/>
              </w:rPr>
              <w:t>mm²</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一把</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4</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网线钳</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含8p</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一把</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5</w:t>
            </w:r>
          </w:p>
        </w:tc>
        <w:tc>
          <w:tcPr>
            <w:tcW w:w="3580" w:type="dxa"/>
            <w:tcBorders>
              <w:top w:val="nil"/>
              <w:left w:val="nil"/>
              <w:bottom w:val="nil"/>
              <w:right w:val="nil"/>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网线寻线仪</w:t>
            </w:r>
          </w:p>
        </w:tc>
        <w:tc>
          <w:tcPr>
            <w:tcW w:w="2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标配</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一套</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7</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电缆钳</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8寸</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一把</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8</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六棱扳手</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规格与设备配套</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一套</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9</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呆扳手</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规格与设备配套</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一套</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10</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活络扳手</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12寸</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两把</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11</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美工刀</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标配</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一把</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12</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电烙铁</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60W</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一把</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13</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万用表</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标配</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一只</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14</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卷尺</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5m</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一把</w:t>
            </w:r>
          </w:p>
        </w:tc>
      </w:tr>
      <w:tr>
        <w:tblPrEx>
          <w:tblCellMar>
            <w:top w:w="0" w:type="dxa"/>
            <w:left w:w="0" w:type="dxa"/>
            <w:bottom w:w="0" w:type="dxa"/>
            <w:right w:w="0" w:type="dxa"/>
          </w:tblCellMar>
        </w:tblPrEx>
        <w:trPr>
          <w:trHeight w:val="119" w:hRule="atLeast"/>
          <w:jc w:val="center"/>
        </w:trPr>
        <w:tc>
          <w:tcPr>
            <w:tcW w:w="789" w:type="dxa"/>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15</w:t>
            </w:r>
          </w:p>
        </w:tc>
        <w:tc>
          <w:tcPr>
            <w:tcW w:w="358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割管器</w:t>
            </w:r>
          </w:p>
        </w:tc>
        <w:tc>
          <w:tcPr>
            <w:tcW w:w="256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6-35mm</w:t>
            </w:r>
          </w:p>
        </w:tc>
        <w:tc>
          <w:tcPr>
            <w:tcW w:w="143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ind w:firstLine="0" w:firstLineChars="0"/>
              <w:jc w:val="center"/>
              <w:rPr>
                <w:rFonts w:ascii="仿宋_GB2312" w:cs="仿宋_GB2312"/>
                <w:kern w:val="2"/>
                <w:sz w:val="24"/>
                <w:szCs w:val="24"/>
                <w:lang w:eastAsia="zh-CN"/>
              </w:rPr>
            </w:pPr>
            <w:r>
              <w:rPr>
                <w:rFonts w:ascii="仿宋_GB2312" w:hAnsi="Calibri" w:cs="仿宋_GB2312"/>
                <w:kern w:val="2"/>
                <w:sz w:val="24"/>
                <w:szCs w:val="24"/>
                <w:lang w:eastAsia="zh-CN" w:bidi="ar"/>
              </w:rPr>
              <w:t>一把</w:t>
            </w:r>
          </w:p>
        </w:tc>
      </w:tr>
      <w:bookmarkEnd w:id="155"/>
      <w:bookmarkEnd w:id="156"/>
    </w:tbl>
    <w:p>
      <w:pPr>
        <w:ind w:firstLine="572"/>
        <w:rPr>
          <w:rFonts w:cs="Times New Roman"/>
          <w:spacing w:val="3"/>
          <w:lang w:eastAsia="zh-CN"/>
        </w:rPr>
      </w:pPr>
      <w:bookmarkStart w:id="159" w:name="_Toc108109252"/>
      <w:bookmarkStart w:id="160" w:name="_Toc142493506"/>
      <w:r>
        <w:rPr>
          <w:rFonts w:hint="eastAsia" w:cs="Times New Roman"/>
          <w:spacing w:val="3"/>
          <w:lang w:eastAsia="zh-CN"/>
        </w:rPr>
        <w:t>赛场配套的仪器和工具清单可能需要增减，由大赛组委会技术工作委员会在赛前30天左右公布。</w:t>
      </w:r>
    </w:p>
    <w:p>
      <w:pPr>
        <w:ind w:firstLine="572"/>
        <w:rPr>
          <w:lang w:eastAsia="zh-CN"/>
        </w:rPr>
      </w:pPr>
      <w:r>
        <w:rPr>
          <w:rFonts w:hint="eastAsia" w:cs="Times New Roman"/>
          <w:spacing w:val="3"/>
          <w:lang w:eastAsia="zh-CN"/>
        </w:rPr>
        <w:t>选手不允许携带表3以外的仪器和工具、存储介质以及危险物品。严禁选手自带易燃易爆化学品。</w:t>
      </w:r>
    </w:p>
    <w:p>
      <w:pPr>
        <w:pStyle w:val="3"/>
        <w:rPr>
          <w:lang w:eastAsia="zh-CN"/>
        </w:rPr>
      </w:pPr>
      <w:bookmarkStart w:id="161" w:name="_Toc29266"/>
      <w:r>
        <w:rPr>
          <w:lang w:eastAsia="zh-CN"/>
        </w:rPr>
        <w:t>8</w:t>
      </w:r>
      <w:bookmarkEnd w:id="159"/>
      <w:bookmarkEnd w:id="160"/>
      <w:r>
        <w:rPr>
          <w:lang w:eastAsia="zh-CN"/>
        </w:rPr>
        <w:t>竞赛场地要求</w:t>
      </w:r>
      <w:bookmarkEnd w:id="161"/>
    </w:p>
    <w:p>
      <w:pPr>
        <w:pStyle w:val="4"/>
        <w:rPr>
          <w:lang w:eastAsia="zh-CN"/>
        </w:rPr>
      </w:pPr>
      <w:bookmarkStart w:id="162" w:name="_Toc106539835"/>
      <w:bookmarkStart w:id="163" w:name="_TOC_300040"/>
      <w:bookmarkStart w:id="164" w:name="_Toc108109253"/>
      <w:bookmarkStart w:id="165" w:name="_Toc26685"/>
      <w:bookmarkStart w:id="166" w:name="_Toc17612"/>
      <w:bookmarkStart w:id="167" w:name="_Toc107129660"/>
      <w:bookmarkStart w:id="168" w:name="_Toc142493507"/>
      <w:r>
        <w:rPr>
          <w:lang w:eastAsia="zh-CN"/>
        </w:rPr>
        <w:t>8.1场地面积要求</w:t>
      </w:r>
      <w:bookmarkEnd w:id="162"/>
      <w:bookmarkEnd w:id="163"/>
      <w:bookmarkEnd w:id="164"/>
      <w:bookmarkEnd w:id="165"/>
      <w:bookmarkEnd w:id="166"/>
      <w:bookmarkEnd w:id="167"/>
      <w:bookmarkEnd w:id="168"/>
    </w:p>
    <w:p>
      <w:pPr>
        <w:ind w:firstLine="560"/>
        <w:rPr>
          <w:rFonts w:cs="Times New Roman"/>
          <w:lang w:eastAsia="zh-CN"/>
        </w:rPr>
      </w:pPr>
      <w:r>
        <w:rPr>
          <w:rFonts w:cs="Times New Roman"/>
          <w:lang w:eastAsia="zh-CN"/>
        </w:rPr>
        <w:t>除设备占用面积以外，选手操作面积不少于6平方米。赛场要为选手留</w:t>
      </w:r>
      <w:r>
        <w:rPr>
          <w:rFonts w:cs="Times New Roman"/>
          <w:spacing w:val="3"/>
          <w:lang w:eastAsia="zh-CN"/>
        </w:rPr>
        <w:t>有集合准备的</w:t>
      </w:r>
      <w:r>
        <w:rPr>
          <w:rFonts w:cs="Times New Roman"/>
          <w:lang w:eastAsia="zh-CN"/>
        </w:rPr>
        <w:t>室内空间。要为裁判员留有执裁空间。赛场必须备有</w:t>
      </w:r>
      <w:r>
        <w:rPr>
          <w:rFonts w:cs="Times New Roman"/>
          <w:spacing w:val="3"/>
          <w:lang w:eastAsia="zh-CN"/>
        </w:rPr>
        <w:t>通风设备，保</w:t>
      </w:r>
      <w:r>
        <w:rPr>
          <w:rFonts w:cs="Times New Roman"/>
          <w:spacing w:val="-1"/>
          <w:lang w:eastAsia="zh-CN"/>
        </w:rPr>
        <w:t>证赛</w:t>
      </w:r>
      <w:r>
        <w:rPr>
          <w:rFonts w:cs="Times New Roman"/>
          <w:lang w:eastAsia="zh-CN"/>
        </w:rPr>
        <w:t>场内空气流通和清洁。</w:t>
      </w:r>
    </w:p>
    <w:p>
      <w:pPr>
        <w:pStyle w:val="4"/>
        <w:rPr>
          <w:lang w:eastAsia="zh-CN"/>
        </w:rPr>
      </w:pPr>
      <w:bookmarkStart w:id="169" w:name="_Toc107129661"/>
      <w:bookmarkStart w:id="170" w:name="_Toc106539836"/>
      <w:bookmarkStart w:id="171" w:name="_Toc18732"/>
      <w:bookmarkStart w:id="172" w:name="_Toc28157"/>
      <w:bookmarkStart w:id="173" w:name="_TOC_300041"/>
      <w:bookmarkStart w:id="174" w:name="_Toc142493508"/>
      <w:bookmarkStart w:id="175" w:name="_Toc108109254"/>
      <w:r>
        <w:rPr>
          <w:lang w:eastAsia="zh-CN"/>
        </w:rPr>
        <w:t>8.2场地照明要求</w:t>
      </w:r>
      <w:bookmarkEnd w:id="169"/>
      <w:bookmarkEnd w:id="170"/>
      <w:bookmarkEnd w:id="171"/>
      <w:bookmarkEnd w:id="172"/>
      <w:bookmarkEnd w:id="173"/>
      <w:bookmarkEnd w:id="174"/>
      <w:bookmarkEnd w:id="175"/>
    </w:p>
    <w:p>
      <w:pPr>
        <w:ind w:firstLine="560"/>
        <w:rPr>
          <w:rFonts w:cs="Times New Roman"/>
          <w:lang w:eastAsia="zh-CN"/>
        </w:rPr>
      </w:pPr>
      <w:r>
        <w:rPr>
          <w:rFonts w:cs="Times New Roman"/>
          <w:lang w:eastAsia="zh-CN"/>
        </w:rPr>
        <w:t>竞赛场地照明应充足、</w:t>
      </w:r>
      <w:r>
        <w:rPr>
          <w:rFonts w:cs="Times New Roman"/>
          <w:spacing w:val="-1"/>
          <w:lang w:eastAsia="zh-CN"/>
        </w:rPr>
        <w:t>柔和。</w:t>
      </w:r>
    </w:p>
    <w:p>
      <w:pPr>
        <w:pStyle w:val="4"/>
        <w:rPr>
          <w:lang w:eastAsia="zh-CN"/>
        </w:rPr>
      </w:pPr>
      <w:bookmarkStart w:id="176" w:name="_Toc107129662"/>
      <w:bookmarkStart w:id="177" w:name="_Toc108109255"/>
      <w:bookmarkStart w:id="178" w:name="_Toc106539837"/>
      <w:bookmarkStart w:id="179" w:name="_Toc1729"/>
      <w:bookmarkStart w:id="180" w:name="_TOC_300042"/>
      <w:bookmarkStart w:id="181" w:name="_Toc28856"/>
      <w:bookmarkStart w:id="182" w:name="_Toc142493509"/>
      <w:r>
        <w:rPr>
          <w:lang w:eastAsia="zh-CN"/>
        </w:rPr>
        <w:t>8.3场地消防和逃生要求</w:t>
      </w:r>
      <w:bookmarkEnd w:id="176"/>
      <w:bookmarkEnd w:id="177"/>
      <w:bookmarkEnd w:id="178"/>
      <w:bookmarkEnd w:id="179"/>
      <w:bookmarkEnd w:id="180"/>
      <w:bookmarkEnd w:id="181"/>
      <w:bookmarkEnd w:id="182"/>
    </w:p>
    <w:p>
      <w:pPr>
        <w:ind w:firstLine="560"/>
        <w:rPr>
          <w:rFonts w:cs="Times New Roman"/>
          <w:szCs w:val="28"/>
          <w:lang w:eastAsia="zh-CN"/>
        </w:rPr>
      </w:pPr>
      <w:r>
        <w:rPr>
          <w:rFonts w:cs="Times New Roman"/>
          <w:lang w:eastAsia="zh-CN"/>
        </w:rPr>
        <w:t>赛场必须留有安全通道。竞赛前必须明确告诉选手和裁判员安全通道和安全门位置。赛场必须配备灭火设备，并置于显著位置。赛场组织人员要做好竞赛安全、健康和公共卫生及突发事件预</w:t>
      </w:r>
      <w:r>
        <w:rPr>
          <w:rFonts w:cs="Times New Roman"/>
          <w:spacing w:val="4"/>
          <w:szCs w:val="28"/>
          <w:lang w:eastAsia="zh-CN"/>
        </w:rPr>
        <w:t>防与</w:t>
      </w:r>
      <w:r>
        <w:rPr>
          <w:rFonts w:cs="Times New Roman"/>
          <w:spacing w:val="-1"/>
          <w:szCs w:val="28"/>
          <w:lang w:eastAsia="zh-CN"/>
        </w:rPr>
        <w:t>应急</w:t>
      </w:r>
      <w:r>
        <w:rPr>
          <w:rFonts w:cs="Times New Roman"/>
          <w:szCs w:val="28"/>
          <w:lang w:eastAsia="zh-CN"/>
        </w:rPr>
        <w:t>处理等工作。</w:t>
      </w:r>
    </w:p>
    <w:p>
      <w:pPr>
        <w:pStyle w:val="2"/>
        <w:rPr>
          <w:lang w:eastAsia="zh-CN"/>
        </w:rPr>
      </w:pPr>
      <w:bookmarkStart w:id="183" w:name="_Toc107987993"/>
      <w:bookmarkStart w:id="184" w:name="_Toc142493510"/>
      <w:bookmarkStart w:id="185" w:name="_Toc21649"/>
      <w:bookmarkStart w:id="186" w:name="_Toc108109256"/>
      <w:bookmarkStart w:id="187" w:name="_Toc29580"/>
      <w:r>
        <w:rPr>
          <w:rFonts w:hint="eastAsia"/>
          <w:lang w:eastAsia="zh-CN"/>
        </w:rPr>
        <w:t>三、竞赛人员要求</w:t>
      </w:r>
      <w:bookmarkEnd w:id="183"/>
      <w:bookmarkEnd w:id="184"/>
      <w:bookmarkEnd w:id="185"/>
      <w:bookmarkEnd w:id="186"/>
      <w:bookmarkEnd w:id="187"/>
    </w:p>
    <w:p>
      <w:pPr>
        <w:pStyle w:val="3"/>
        <w:rPr>
          <w:lang w:eastAsia="zh-CN"/>
        </w:rPr>
      </w:pPr>
      <w:bookmarkStart w:id="188" w:name="_Toc10364"/>
      <w:bookmarkStart w:id="189" w:name="_Toc142493511"/>
      <w:bookmarkStart w:id="190" w:name="_Toc28697"/>
      <w:bookmarkStart w:id="191" w:name="_Toc108109257"/>
      <w:r>
        <w:rPr>
          <w:lang w:eastAsia="zh-CN"/>
        </w:rPr>
        <w:t>9裁判员条件和工作内容</w:t>
      </w:r>
      <w:bookmarkEnd w:id="188"/>
      <w:bookmarkEnd w:id="189"/>
      <w:bookmarkEnd w:id="190"/>
      <w:bookmarkEnd w:id="191"/>
    </w:p>
    <w:p>
      <w:pPr>
        <w:pStyle w:val="4"/>
        <w:rPr>
          <w:rStyle w:val="26"/>
          <w:b w:val="0"/>
          <w:bCs w:val="0"/>
          <w:lang w:eastAsia="zh-CN"/>
        </w:rPr>
      </w:pPr>
      <w:bookmarkStart w:id="192" w:name="_Toc26291"/>
      <w:bookmarkStart w:id="193" w:name="_TOC_300030"/>
      <w:bookmarkStart w:id="194" w:name="_Toc5096"/>
      <w:bookmarkStart w:id="195" w:name="_Toc107129650"/>
      <w:bookmarkStart w:id="196" w:name="_Toc108109258"/>
      <w:bookmarkStart w:id="197" w:name="_Toc106539825"/>
      <w:bookmarkStart w:id="198" w:name="_Toc142493512"/>
      <w:r>
        <w:rPr>
          <w:lang w:eastAsia="zh-CN"/>
        </w:rPr>
        <w:t>9.1裁判长</w:t>
      </w:r>
      <w:bookmarkEnd w:id="192"/>
      <w:bookmarkEnd w:id="193"/>
      <w:bookmarkEnd w:id="194"/>
      <w:bookmarkEnd w:id="195"/>
      <w:bookmarkEnd w:id="196"/>
      <w:bookmarkEnd w:id="197"/>
      <w:bookmarkEnd w:id="198"/>
    </w:p>
    <w:p>
      <w:pPr>
        <w:ind w:firstLine="580"/>
        <w:rPr>
          <w:rFonts w:cs="Times New Roman"/>
          <w:lang w:eastAsia="zh-CN"/>
        </w:rPr>
      </w:pPr>
      <w:r>
        <w:rPr>
          <w:rFonts w:cs="Times New Roman"/>
          <w:spacing w:val="5"/>
          <w:lang w:eastAsia="zh-CN"/>
        </w:rPr>
        <w:t>赛场</w:t>
      </w:r>
      <w:r>
        <w:rPr>
          <w:rFonts w:cs="Times New Roman"/>
          <w:spacing w:val="4"/>
          <w:lang w:eastAsia="zh-CN"/>
        </w:rPr>
        <w:t>实行裁判长负责制，全面负责本赛项的竞赛执裁工作。裁</w:t>
      </w:r>
      <w:r>
        <w:rPr>
          <w:rFonts w:cs="Times New Roman"/>
          <w:spacing w:val="-1"/>
          <w:lang w:eastAsia="zh-CN"/>
        </w:rPr>
        <w:t>判长</w:t>
      </w:r>
      <w:r>
        <w:rPr>
          <w:rFonts w:cs="Times New Roman"/>
          <w:lang w:eastAsia="zh-CN"/>
        </w:rPr>
        <w:t>和副裁判长由组委会技术工作委员会通过遴选审核确定。</w:t>
      </w:r>
    </w:p>
    <w:p>
      <w:pPr>
        <w:pStyle w:val="4"/>
        <w:rPr>
          <w:lang w:eastAsia="zh-CN"/>
        </w:rPr>
      </w:pPr>
      <w:bookmarkStart w:id="199" w:name="_TOC_300031"/>
      <w:bookmarkStart w:id="200" w:name="_Toc106539826"/>
      <w:bookmarkStart w:id="201" w:name="_Toc3074"/>
      <w:bookmarkStart w:id="202" w:name="_Toc32350"/>
      <w:bookmarkStart w:id="203" w:name="_Toc142493513"/>
      <w:bookmarkStart w:id="204" w:name="_Toc107129651"/>
      <w:bookmarkStart w:id="205" w:name="_Toc108109259"/>
      <w:r>
        <w:rPr>
          <w:lang w:eastAsia="zh-CN"/>
        </w:rPr>
        <w:t>9.2裁判员的条件和组成</w:t>
      </w:r>
      <w:bookmarkEnd w:id="199"/>
      <w:bookmarkEnd w:id="200"/>
      <w:bookmarkEnd w:id="201"/>
      <w:bookmarkEnd w:id="202"/>
      <w:bookmarkEnd w:id="203"/>
      <w:bookmarkEnd w:id="204"/>
      <w:bookmarkEnd w:id="205"/>
    </w:p>
    <w:p>
      <w:pPr>
        <w:ind w:firstLine="580"/>
        <w:rPr>
          <w:rFonts w:ascii="仿宋_GB2312" w:cs="Times New Roman"/>
          <w:spacing w:val="5"/>
          <w:lang w:eastAsia="zh-CN"/>
        </w:rPr>
      </w:pPr>
      <w:r>
        <w:rPr>
          <w:rFonts w:hint="eastAsia" w:ascii="仿宋_GB2312" w:cs="Times New Roman"/>
          <w:spacing w:val="5"/>
          <w:lang w:eastAsia="zh-CN"/>
        </w:rPr>
        <w:t>（1）</w:t>
      </w:r>
      <w:r>
        <w:rPr>
          <w:rFonts w:ascii="仿宋_GB2312" w:cs="Times New Roman"/>
          <w:spacing w:val="5"/>
          <w:lang w:eastAsia="zh-CN"/>
        </w:rPr>
        <w:t>裁判员须符合裁判员工作管理规范，赛前由技术工作委员会统一组织裁判员培训。决赛参加执裁的裁判员由技术工作委员会抽取和推荐。被抽取或推荐的裁判员在大赛前可申请不参加裁判工作并放弃相应权利。一旦确认担任裁判员工作后，比赛中途不得更换人选。若裁判员不能满足裁判等技术工作需要，由裁判长按照大赛组委会相关要求处理。</w:t>
      </w:r>
    </w:p>
    <w:p>
      <w:pPr>
        <w:ind w:firstLine="560"/>
        <w:rPr>
          <w:rFonts w:ascii="仿宋_GB2312" w:cs="Times New Roman"/>
          <w:spacing w:val="5"/>
          <w:lang w:eastAsia="zh-CN"/>
        </w:rPr>
      </w:pPr>
      <w:r>
        <w:rPr>
          <w:rFonts w:hint="eastAsia" w:ascii="仿宋_GB2312" w:hAnsi="仿宋_GB2312" w:cs="仿宋_GB2312"/>
          <w:kern w:val="2"/>
          <w:szCs w:val="30"/>
          <w:lang w:eastAsia="zh-CN"/>
        </w:rPr>
        <w:t>（2）</w:t>
      </w:r>
      <w:r>
        <w:rPr>
          <w:rFonts w:ascii="仿宋_GB2312" w:hAnsi="仿宋_GB2312" w:cs="仿宋_GB2312"/>
          <w:kern w:val="2"/>
          <w:szCs w:val="30"/>
          <w:lang w:eastAsia="zh-CN"/>
        </w:rPr>
        <w:t>裁判员应服从裁判长的管理，裁判员的工作由裁判长指派或抽签</w:t>
      </w:r>
      <w:r>
        <w:rPr>
          <w:rFonts w:ascii="仿宋_GB2312" w:cs="Times New Roman"/>
          <w:spacing w:val="5"/>
          <w:lang w:eastAsia="zh-CN"/>
        </w:rPr>
        <w:t>决定。在工作时间内，裁判员不得徇私舞弊、无故迟到、早退、中途离开工作地或放弃工作，否则将视其影响程度进行相应处理，直至取消裁判员资格并记录在案。</w:t>
      </w:r>
    </w:p>
    <w:p>
      <w:pPr>
        <w:ind w:firstLine="580"/>
        <w:rPr>
          <w:rFonts w:ascii="仿宋_GB2312" w:cs="Times New Roman"/>
          <w:spacing w:val="5"/>
          <w:lang w:eastAsia="zh-CN"/>
        </w:rPr>
      </w:pPr>
      <w:r>
        <w:rPr>
          <w:rFonts w:hint="eastAsia" w:ascii="仿宋_GB2312" w:cs="Times New Roman"/>
          <w:spacing w:val="5"/>
          <w:lang w:eastAsia="zh-CN"/>
        </w:rPr>
        <w:t>（3）</w:t>
      </w:r>
      <w:r>
        <w:rPr>
          <w:rFonts w:ascii="仿宋_GB2312" w:cs="Times New Roman"/>
          <w:spacing w:val="5"/>
          <w:lang w:eastAsia="zh-CN"/>
        </w:rPr>
        <w:t>裁判员按工作需要，由裁判长将其分成加密裁判组、现场裁判组、过程结果评分组等若干小组开展工作。其中加密裁判组2人/组、过程结果评分组2人/组。现场裁判组根据参赛工位和场次确定分组，原则上每组选手配2名裁判。各小组在裁判长的统一安排下开展相应工作。</w:t>
      </w:r>
      <w:r>
        <w:rPr>
          <w:rFonts w:hint="eastAsia" w:ascii="仿宋_GB2312" w:cs="Times New Roman"/>
          <w:spacing w:val="5"/>
          <w:lang w:eastAsia="zh-CN"/>
        </w:rPr>
        <w:t>检录裁判由组委会统一安排。</w:t>
      </w:r>
    </w:p>
    <w:p>
      <w:pPr>
        <w:pStyle w:val="4"/>
        <w:rPr>
          <w:lang w:eastAsia="zh-CN"/>
        </w:rPr>
      </w:pPr>
      <w:bookmarkStart w:id="206" w:name="_Toc5755"/>
      <w:bookmarkStart w:id="207" w:name="_TOC_300032"/>
      <w:bookmarkStart w:id="208" w:name="_Toc106539827"/>
      <w:bookmarkStart w:id="209" w:name="_Toc107129652"/>
      <w:bookmarkStart w:id="210" w:name="_Toc108109260"/>
      <w:bookmarkStart w:id="211" w:name="_Toc4787"/>
      <w:bookmarkStart w:id="212" w:name="_Toc142493514"/>
      <w:r>
        <w:rPr>
          <w:lang w:eastAsia="zh-CN"/>
        </w:rPr>
        <w:t>9.3裁判员的工作内容</w:t>
      </w:r>
      <w:bookmarkEnd w:id="206"/>
      <w:bookmarkEnd w:id="207"/>
      <w:bookmarkEnd w:id="208"/>
      <w:bookmarkEnd w:id="209"/>
      <w:bookmarkEnd w:id="210"/>
      <w:bookmarkEnd w:id="211"/>
      <w:bookmarkEnd w:id="212"/>
    </w:p>
    <w:p>
      <w:pPr>
        <w:ind w:firstLine="0" w:firstLineChars="0"/>
        <w:rPr>
          <w:b/>
          <w:bCs/>
          <w:lang w:eastAsia="zh-CN"/>
        </w:rPr>
      </w:pPr>
      <w:bookmarkStart w:id="213" w:name="_Toc142493515"/>
      <w:bookmarkStart w:id="214" w:name="_Toc108109374"/>
      <w:bookmarkStart w:id="215" w:name="_Toc108615562"/>
      <w:bookmarkStart w:id="216" w:name="_Toc108109261"/>
      <w:bookmarkStart w:id="217" w:name="_Toc24731"/>
      <w:bookmarkStart w:id="218" w:name="_Toc109205574"/>
      <w:r>
        <w:rPr>
          <w:b/>
          <w:bCs/>
          <w:lang w:eastAsia="zh-CN"/>
        </w:rPr>
        <w:t>9.3.1裁判员赛前培训</w:t>
      </w:r>
      <w:bookmarkEnd w:id="213"/>
      <w:bookmarkEnd w:id="214"/>
      <w:bookmarkEnd w:id="215"/>
      <w:bookmarkEnd w:id="216"/>
      <w:bookmarkEnd w:id="217"/>
      <w:bookmarkEnd w:id="218"/>
    </w:p>
    <w:p>
      <w:pPr>
        <w:ind w:firstLine="580"/>
        <w:rPr>
          <w:rFonts w:cs="Times New Roman"/>
          <w:lang w:eastAsia="zh-CN"/>
        </w:rPr>
      </w:pPr>
      <w:r>
        <w:rPr>
          <w:rFonts w:cs="Times New Roman"/>
          <w:spacing w:val="5"/>
          <w:lang w:eastAsia="zh-CN"/>
        </w:rPr>
        <w:t>裁判</w:t>
      </w:r>
      <w:r>
        <w:rPr>
          <w:rFonts w:cs="Times New Roman"/>
          <w:spacing w:val="4"/>
          <w:lang w:eastAsia="zh-CN"/>
        </w:rPr>
        <w:t>员需在赛前参加裁判工作培训，掌握与执裁工作相关的大</w:t>
      </w:r>
      <w:r>
        <w:rPr>
          <w:rFonts w:cs="Times New Roman"/>
          <w:spacing w:val="3"/>
          <w:lang w:eastAsia="zh-CN"/>
        </w:rPr>
        <w:t>赛制度要求和赛项竞赛规则，具体包括：竞赛技术规则、</w:t>
      </w:r>
      <w:r>
        <w:rPr>
          <w:rFonts w:cs="Times New Roman"/>
          <w:spacing w:val="10"/>
          <w:lang w:eastAsia="zh-CN"/>
        </w:rPr>
        <w:t>竞赛</w:t>
      </w:r>
      <w:r>
        <w:rPr>
          <w:rFonts w:cs="Times New Roman"/>
          <w:spacing w:val="8"/>
          <w:lang w:eastAsia="zh-CN"/>
        </w:rPr>
        <w:t>技术</w:t>
      </w:r>
      <w:r>
        <w:rPr>
          <w:rFonts w:cs="Times New Roman"/>
          <w:spacing w:val="3"/>
          <w:lang w:eastAsia="zh-CN"/>
        </w:rPr>
        <w:t>平台、</w:t>
      </w:r>
      <w:r>
        <w:rPr>
          <w:rFonts w:cs="Times New Roman"/>
          <w:spacing w:val="4"/>
          <w:lang w:eastAsia="zh-CN"/>
        </w:rPr>
        <w:t>评分方式、评分标准、成绩管理流程、安全注意事项</w:t>
      </w:r>
      <w:r>
        <w:rPr>
          <w:rFonts w:cs="Times New Roman"/>
          <w:spacing w:val="3"/>
          <w:lang w:eastAsia="zh-CN"/>
        </w:rPr>
        <w:t>和安全</w:t>
      </w:r>
      <w:r>
        <w:rPr>
          <w:rFonts w:cs="Times New Roman"/>
          <w:spacing w:val="-1"/>
          <w:lang w:eastAsia="zh-CN"/>
        </w:rPr>
        <w:t>应急</w:t>
      </w:r>
      <w:r>
        <w:rPr>
          <w:rFonts w:cs="Times New Roman"/>
          <w:lang w:eastAsia="zh-CN"/>
        </w:rPr>
        <w:t>预案等。</w:t>
      </w:r>
    </w:p>
    <w:p>
      <w:pPr>
        <w:ind w:firstLine="0" w:firstLineChars="0"/>
        <w:rPr>
          <w:b/>
          <w:bCs/>
          <w:lang w:eastAsia="zh-CN"/>
        </w:rPr>
      </w:pPr>
      <w:bookmarkStart w:id="219" w:name="_Toc109205575"/>
      <w:bookmarkStart w:id="220" w:name="_Toc31894"/>
      <w:bookmarkStart w:id="221" w:name="_Toc142493516"/>
      <w:bookmarkStart w:id="222" w:name="_Toc108109262"/>
      <w:bookmarkStart w:id="223" w:name="_Toc108615563"/>
      <w:bookmarkStart w:id="224" w:name="_Toc108109375"/>
      <w:r>
        <w:rPr>
          <w:b/>
          <w:bCs/>
          <w:lang w:eastAsia="zh-CN"/>
        </w:rPr>
        <w:t>9.3.2裁判员分组</w:t>
      </w:r>
      <w:bookmarkEnd w:id="219"/>
      <w:bookmarkEnd w:id="220"/>
      <w:bookmarkEnd w:id="221"/>
      <w:bookmarkEnd w:id="222"/>
      <w:bookmarkEnd w:id="223"/>
      <w:bookmarkEnd w:id="224"/>
    </w:p>
    <w:p>
      <w:pPr>
        <w:ind w:firstLine="580"/>
        <w:rPr>
          <w:rFonts w:cs="Times New Roman"/>
          <w:lang w:eastAsia="zh-CN"/>
        </w:rPr>
      </w:pPr>
      <w:r>
        <w:rPr>
          <w:rFonts w:cs="Times New Roman"/>
          <w:spacing w:val="5"/>
          <w:lang w:eastAsia="zh-CN"/>
        </w:rPr>
        <w:t>在裁</w:t>
      </w:r>
      <w:r>
        <w:rPr>
          <w:rFonts w:cs="Times New Roman"/>
          <w:spacing w:val="4"/>
          <w:lang w:eastAsia="zh-CN"/>
        </w:rPr>
        <w:t>判长的安排下，对裁判员进行分组，并明确组内人员分工</w:t>
      </w:r>
      <w:r>
        <w:rPr>
          <w:rFonts w:cs="Times New Roman"/>
          <w:lang w:eastAsia="zh-CN"/>
        </w:rPr>
        <w:t>及工作职责、</w:t>
      </w:r>
      <w:r>
        <w:rPr>
          <w:rFonts w:cs="Times New Roman"/>
          <w:spacing w:val="-1"/>
          <w:lang w:eastAsia="zh-CN"/>
        </w:rPr>
        <w:t>工作</w:t>
      </w:r>
      <w:r>
        <w:rPr>
          <w:rFonts w:cs="Times New Roman"/>
          <w:lang w:eastAsia="zh-CN"/>
        </w:rPr>
        <w:t>流程和工作要求等。</w:t>
      </w:r>
    </w:p>
    <w:p>
      <w:pPr>
        <w:ind w:firstLine="0" w:firstLineChars="0"/>
        <w:rPr>
          <w:b/>
          <w:bCs/>
          <w:lang w:eastAsia="zh-CN"/>
        </w:rPr>
      </w:pPr>
      <w:bookmarkStart w:id="225" w:name="_Toc108109263"/>
      <w:bookmarkStart w:id="226" w:name="_Toc108615564"/>
      <w:bookmarkStart w:id="227" w:name="_Toc142493517"/>
      <w:bookmarkStart w:id="228" w:name="_Toc108109376"/>
      <w:bookmarkStart w:id="229" w:name="_Toc109205576"/>
      <w:bookmarkStart w:id="230" w:name="_Toc9988"/>
      <w:r>
        <w:rPr>
          <w:b/>
          <w:bCs/>
          <w:lang w:eastAsia="zh-CN"/>
        </w:rPr>
        <w:t>9.3.3赛前准备</w:t>
      </w:r>
      <w:bookmarkEnd w:id="225"/>
      <w:bookmarkEnd w:id="226"/>
      <w:bookmarkEnd w:id="227"/>
      <w:bookmarkEnd w:id="228"/>
      <w:bookmarkEnd w:id="229"/>
      <w:bookmarkEnd w:id="230"/>
    </w:p>
    <w:p>
      <w:pPr>
        <w:ind w:firstLine="576"/>
        <w:rPr>
          <w:rFonts w:cs="Times New Roman"/>
          <w:lang w:eastAsia="zh-CN"/>
        </w:rPr>
      </w:pPr>
      <w:r>
        <w:rPr>
          <w:rFonts w:cs="Times New Roman"/>
          <w:spacing w:val="4"/>
          <w:lang w:eastAsia="zh-CN"/>
        </w:rPr>
        <w:t>裁判执裁前对赛场设备设施的规范性、</w:t>
      </w:r>
      <w:r>
        <w:rPr>
          <w:rFonts w:cs="Times New Roman"/>
          <w:spacing w:val="5"/>
          <w:lang w:eastAsia="zh-CN"/>
        </w:rPr>
        <w:t>完整</w:t>
      </w:r>
      <w:r>
        <w:rPr>
          <w:rFonts w:cs="Times New Roman"/>
          <w:spacing w:val="4"/>
          <w:lang w:eastAsia="zh-CN"/>
        </w:rPr>
        <w:t>性和安全性进行检</w:t>
      </w:r>
      <w:r>
        <w:rPr>
          <w:rFonts w:cs="Times New Roman"/>
          <w:spacing w:val="-1"/>
          <w:lang w:eastAsia="zh-CN"/>
        </w:rPr>
        <w:t>查，</w:t>
      </w:r>
      <w:r>
        <w:rPr>
          <w:rFonts w:cs="Times New Roman"/>
          <w:lang w:eastAsia="zh-CN"/>
        </w:rPr>
        <w:t>做好执裁的准备工作。</w:t>
      </w:r>
    </w:p>
    <w:p>
      <w:pPr>
        <w:ind w:firstLine="0" w:firstLineChars="0"/>
        <w:rPr>
          <w:b/>
          <w:bCs/>
          <w:lang w:eastAsia="zh-CN"/>
        </w:rPr>
      </w:pPr>
      <w:bookmarkStart w:id="231" w:name="_Toc109205577"/>
      <w:bookmarkStart w:id="232" w:name="_Toc108615565"/>
      <w:bookmarkStart w:id="233" w:name="_Toc108109377"/>
      <w:bookmarkStart w:id="234" w:name="_Toc29453"/>
      <w:bookmarkStart w:id="235" w:name="_Toc142493518"/>
      <w:bookmarkStart w:id="236" w:name="_Toc108109264"/>
      <w:r>
        <w:rPr>
          <w:b/>
          <w:bCs/>
          <w:lang w:eastAsia="zh-CN"/>
        </w:rPr>
        <w:t>9.3.4现场执裁</w:t>
      </w:r>
      <w:bookmarkEnd w:id="231"/>
      <w:bookmarkEnd w:id="232"/>
      <w:bookmarkEnd w:id="233"/>
      <w:bookmarkEnd w:id="234"/>
      <w:bookmarkEnd w:id="235"/>
      <w:bookmarkEnd w:id="236"/>
    </w:p>
    <w:p>
      <w:pPr>
        <w:ind w:firstLine="556"/>
        <w:rPr>
          <w:rFonts w:cs="Times New Roman"/>
          <w:lang w:eastAsia="zh-CN"/>
        </w:rPr>
      </w:pPr>
      <w:r>
        <w:rPr>
          <w:rFonts w:cs="Times New Roman"/>
          <w:spacing w:val="-1"/>
          <w:lang w:eastAsia="zh-CN"/>
        </w:rPr>
        <w:t>现场裁判负责引导选手在赛位或等候区域等待竞赛指令。</w:t>
      </w:r>
      <w:r>
        <w:rPr>
          <w:rFonts w:cs="Times New Roman"/>
          <w:spacing w:val="-5"/>
          <w:lang w:eastAsia="zh-CN"/>
        </w:rPr>
        <w:t>期间，</w:t>
      </w:r>
      <w:r>
        <w:rPr>
          <w:rFonts w:cs="Times New Roman"/>
          <w:spacing w:val="5"/>
          <w:lang w:eastAsia="zh-CN"/>
        </w:rPr>
        <w:t>现场裁判需向</w:t>
      </w:r>
      <w:r>
        <w:rPr>
          <w:rFonts w:cs="Times New Roman"/>
          <w:spacing w:val="4"/>
          <w:lang w:eastAsia="zh-CN"/>
        </w:rPr>
        <w:t>选手宣读竞赛须知</w:t>
      </w:r>
      <w:r>
        <w:rPr>
          <w:rFonts w:hint="eastAsia" w:cs="Times New Roman"/>
          <w:spacing w:val="4"/>
          <w:lang w:eastAsia="zh-CN"/>
        </w:rPr>
        <w:t>，</w:t>
      </w:r>
      <w:r>
        <w:rPr>
          <w:rFonts w:cs="Times New Roman"/>
          <w:spacing w:val="4"/>
          <w:lang w:eastAsia="zh-CN"/>
        </w:rPr>
        <w:t>提醒选手遵照安全规定和操作规</w:t>
      </w:r>
      <w:r>
        <w:rPr>
          <w:rFonts w:cs="Times New Roman"/>
          <w:spacing w:val="5"/>
          <w:lang w:eastAsia="zh-CN"/>
        </w:rPr>
        <w:t>范进行竞赛。</w:t>
      </w:r>
      <w:r>
        <w:rPr>
          <w:rFonts w:cs="Times New Roman"/>
          <w:spacing w:val="4"/>
          <w:lang w:eastAsia="zh-CN"/>
        </w:rPr>
        <w:t>竞赛过程中，裁判员不得单独接近选手，除非选手举</w:t>
      </w:r>
      <w:r>
        <w:rPr>
          <w:rFonts w:cs="Times New Roman"/>
          <w:spacing w:val="5"/>
          <w:lang w:eastAsia="zh-CN"/>
        </w:rPr>
        <w:t>手示意裁判解</w:t>
      </w:r>
      <w:r>
        <w:rPr>
          <w:rFonts w:cs="Times New Roman"/>
          <w:spacing w:val="4"/>
          <w:lang w:eastAsia="zh-CN"/>
        </w:rPr>
        <w:t>决竞赛中出现的问题，或选手出现严重违规行为。裁</w:t>
      </w:r>
      <w:r>
        <w:rPr>
          <w:rFonts w:cs="Times New Roman"/>
          <w:spacing w:val="5"/>
          <w:lang w:eastAsia="zh-CN"/>
        </w:rPr>
        <w:t>判员无权解释</w:t>
      </w:r>
      <w:r>
        <w:rPr>
          <w:rFonts w:cs="Times New Roman"/>
          <w:spacing w:val="4"/>
          <w:lang w:eastAsia="zh-CN"/>
        </w:rPr>
        <w:t>竞赛试题内容。竞赛中现场裁判需做好赛场纪律的维</w:t>
      </w:r>
      <w:r>
        <w:rPr>
          <w:rFonts w:cs="Times New Roman"/>
          <w:spacing w:val="5"/>
          <w:lang w:eastAsia="zh-CN"/>
        </w:rPr>
        <w:t>护，对有违规</w:t>
      </w:r>
      <w:r>
        <w:rPr>
          <w:rFonts w:cs="Times New Roman"/>
          <w:spacing w:val="4"/>
          <w:lang w:eastAsia="zh-CN"/>
        </w:rPr>
        <w:t>行为的选手提出警告，对严重违规选手，应按竞赛规</w:t>
      </w:r>
      <w:r>
        <w:rPr>
          <w:rFonts w:cs="Times New Roman"/>
          <w:lang w:eastAsia="zh-CN"/>
        </w:rPr>
        <w:t>程予以停赛或取</w:t>
      </w:r>
      <w:r>
        <w:rPr>
          <w:rFonts w:cs="Times New Roman"/>
          <w:spacing w:val="-1"/>
          <w:lang w:eastAsia="zh-CN"/>
        </w:rPr>
        <w:t>消竞赛资格等处理，并记录在《赛场情况记录表》。</w:t>
      </w:r>
      <w:r>
        <w:rPr>
          <w:rFonts w:cs="Times New Roman"/>
          <w:spacing w:val="5"/>
          <w:lang w:eastAsia="zh-CN"/>
        </w:rPr>
        <w:t>在具有危险性</w:t>
      </w:r>
      <w:r>
        <w:rPr>
          <w:rFonts w:cs="Times New Roman"/>
          <w:spacing w:val="4"/>
          <w:lang w:eastAsia="zh-CN"/>
        </w:rPr>
        <w:t>的作业环节，裁判员要严防选手出现错误操作。现场</w:t>
      </w:r>
      <w:r>
        <w:rPr>
          <w:rFonts w:cs="Times New Roman"/>
          <w:spacing w:val="5"/>
          <w:lang w:eastAsia="zh-CN"/>
        </w:rPr>
        <w:t>裁判适时提醒</w:t>
      </w:r>
      <w:r>
        <w:rPr>
          <w:rFonts w:cs="Times New Roman"/>
          <w:spacing w:val="4"/>
          <w:lang w:eastAsia="zh-CN"/>
        </w:rPr>
        <w:t>选手竞赛剩余时间，到竞赛结束时，选手仍未停止作</w:t>
      </w:r>
      <w:r>
        <w:rPr>
          <w:rFonts w:cs="Times New Roman"/>
          <w:spacing w:val="5"/>
          <w:lang w:eastAsia="zh-CN"/>
        </w:rPr>
        <w:t>业，现场裁判</w:t>
      </w:r>
      <w:r>
        <w:rPr>
          <w:rFonts w:cs="Times New Roman"/>
          <w:spacing w:val="4"/>
          <w:lang w:eastAsia="zh-CN"/>
        </w:rPr>
        <w:t>在确保安全前提下有权强制终止选手作业。加密裁判</w:t>
      </w:r>
      <w:r>
        <w:rPr>
          <w:rFonts w:cs="Times New Roman"/>
          <w:spacing w:val="5"/>
          <w:lang w:eastAsia="zh-CN"/>
        </w:rPr>
        <w:t>和现场裁判负</w:t>
      </w:r>
      <w:r>
        <w:rPr>
          <w:rFonts w:cs="Times New Roman"/>
          <w:spacing w:val="4"/>
          <w:lang w:eastAsia="zh-CN"/>
        </w:rPr>
        <w:t>责检查选手携带的物品，违规物品一律清出赛场。竞赛结束后裁判员要命令选手停止竞赛，监督选手提交成果、</w:t>
      </w:r>
      <w:r>
        <w:rPr>
          <w:rFonts w:cs="Times New Roman"/>
          <w:spacing w:val="5"/>
          <w:lang w:eastAsia="zh-CN"/>
        </w:rPr>
        <w:t>图纸、</w:t>
      </w:r>
      <w:r>
        <w:rPr>
          <w:rFonts w:cs="Times New Roman"/>
          <w:spacing w:val="4"/>
          <w:lang w:eastAsia="zh-CN"/>
        </w:rPr>
        <w:t>电子存储设备、</w:t>
      </w:r>
      <w:r>
        <w:rPr>
          <w:rFonts w:cs="Times New Roman"/>
          <w:spacing w:val="5"/>
          <w:lang w:eastAsia="zh-CN"/>
        </w:rPr>
        <w:t>草稿纸等一切</w:t>
      </w:r>
      <w:r>
        <w:rPr>
          <w:rFonts w:cs="Times New Roman"/>
          <w:spacing w:val="4"/>
          <w:lang w:eastAsia="zh-CN"/>
        </w:rPr>
        <w:t>竞赛</w:t>
      </w:r>
      <w:r>
        <w:rPr>
          <w:rFonts w:hint="eastAsia" w:cs="Times New Roman"/>
          <w:spacing w:val="4"/>
          <w:lang w:eastAsia="zh-CN"/>
        </w:rPr>
        <w:t>资料</w:t>
      </w:r>
      <w:r>
        <w:rPr>
          <w:rFonts w:cs="Times New Roman"/>
          <w:spacing w:val="4"/>
          <w:lang w:eastAsia="zh-CN"/>
        </w:rPr>
        <w:t>。竞赛换场期间，现场裁判</w:t>
      </w:r>
      <w:r>
        <w:rPr>
          <w:rFonts w:cs="Times New Roman"/>
          <w:spacing w:val="-1"/>
          <w:lang w:eastAsia="zh-CN"/>
        </w:rPr>
        <w:t>须做</w:t>
      </w:r>
      <w:r>
        <w:rPr>
          <w:rFonts w:cs="Times New Roman"/>
          <w:lang w:eastAsia="zh-CN"/>
        </w:rPr>
        <w:t>好选手的隔离工作。</w:t>
      </w:r>
    </w:p>
    <w:p>
      <w:pPr>
        <w:ind w:firstLine="0" w:firstLineChars="0"/>
        <w:rPr>
          <w:b/>
          <w:bCs/>
          <w:lang w:eastAsia="zh-CN"/>
        </w:rPr>
      </w:pPr>
      <w:bookmarkStart w:id="237" w:name="_Toc108109265"/>
      <w:bookmarkStart w:id="238" w:name="_Toc108615566"/>
      <w:bookmarkStart w:id="239" w:name="_Toc109205578"/>
      <w:bookmarkStart w:id="240" w:name="_Toc6567"/>
      <w:bookmarkStart w:id="241" w:name="_Toc108109378"/>
      <w:bookmarkStart w:id="242" w:name="_Toc142493519"/>
      <w:r>
        <w:rPr>
          <w:b/>
          <w:bCs/>
          <w:lang w:eastAsia="zh-CN"/>
        </w:rPr>
        <w:t>9.3.5竞赛加密和解密</w:t>
      </w:r>
      <w:bookmarkEnd w:id="237"/>
      <w:bookmarkEnd w:id="238"/>
      <w:bookmarkEnd w:id="239"/>
      <w:bookmarkEnd w:id="240"/>
      <w:bookmarkEnd w:id="241"/>
      <w:bookmarkEnd w:id="242"/>
    </w:p>
    <w:p>
      <w:pPr>
        <w:ind w:firstLine="580"/>
        <w:rPr>
          <w:rFonts w:cs="Times New Roman"/>
          <w:lang w:eastAsia="zh-CN"/>
        </w:rPr>
      </w:pPr>
      <w:r>
        <w:rPr>
          <w:rFonts w:cs="Times New Roman"/>
          <w:spacing w:val="5"/>
          <w:lang w:eastAsia="zh-CN"/>
        </w:rPr>
        <w:t>加密</w:t>
      </w:r>
      <w:r>
        <w:rPr>
          <w:rFonts w:cs="Times New Roman"/>
          <w:spacing w:val="4"/>
          <w:lang w:eastAsia="zh-CN"/>
        </w:rPr>
        <w:t>由加密裁判负责；评分结果得出后，加密裁判在监督人员</w:t>
      </w:r>
      <w:r>
        <w:rPr>
          <w:rFonts w:cs="Times New Roman"/>
          <w:spacing w:val="-1"/>
          <w:lang w:eastAsia="zh-CN"/>
        </w:rPr>
        <w:t>监督</w:t>
      </w:r>
      <w:r>
        <w:rPr>
          <w:rFonts w:cs="Times New Roman"/>
          <w:lang w:eastAsia="zh-CN"/>
        </w:rPr>
        <w:t>下对加密结果进行解密，并形成最终成绩单。</w:t>
      </w:r>
    </w:p>
    <w:p>
      <w:pPr>
        <w:ind w:firstLine="0" w:firstLineChars="0"/>
        <w:rPr>
          <w:b/>
          <w:bCs/>
          <w:lang w:eastAsia="zh-CN"/>
        </w:rPr>
      </w:pPr>
      <w:bookmarkStart w:id="243" w:name="_Toc142493520"/>
      <w:bookmarkStart w:id="244" w:name="_Toc108109266"/>
      <w:bookmarkStart w:id="245" w:name="_Toc108615567"/>
      <w:bookmarkStart w:id="246" w:name="_Toc32681"/>
      <w:bookmarkStart w:id="247" w:name="_Toc108109379"/>
      <w:bookmarkStart w:id="248" w:name="_Toc109205579"/>
      <w:r>
        <w:rPr>
          <w:b/>
          <w:bCs/>
          <w:lang w:eastAsia="zh-CN"/>
        </w:rPr>
        <w:t>9.3.6竞赛材料管理</w:t>
      </w:r>
      <w:bookmarkEnd w:id="243"/>
      <w:bookmarkEnd w:id="244"/>
      <w:bookmarkEnd w:id="245"/>
      <w:bookmarkEnd w:id="246"/>
      <w:bookmarkEnd w:id="247"/>
      <w:bookmarkEnd w:id="248"/>
    </w:p>
    <w:p>
      <w:pPr>
        <w:ind w:firstLine="576"/>
        <w:rPr>
          <w:rFonts w:cs="Times New Roman"/>
          <w:lang w:eastAsia="zh-CN"/>
        </w:rPr>
      </w:pPr>
      <w:r>
        <w:rPr>
          <w:rFonts w:cs="Times New Roman"/>
          <w:spacing w:val="4"/>
          <w:lang w:eastAsia="zh-CN"/>
        </w:rPr>
        <w:t>现场裁判须在规定时间发放赛题等竞赛材料，于赛后回收、</w:t>
      </w:r>
      <w:r>
        <w:rPr>
          <w:rFonts w:cs="Times New Roman"/>
          <w:spacing w:val="5"/>
          <w:lang w:eastAsia="zh-CN"/>
        </w:rPr>
        <w:t>密</w:t>
      </w:r>
      <w:r>
        <w:rPr>
          <w:rFonts w:cs="Times New Roman"/>
          <w:spacing w:val="-1"/>
          <w:lang w:eastAsia="zh-CN"/>
        </w:rPr>
        <w:t>封所</w:t>
      </w:r>
      <w:r>
        <w:rPr>
          <w:rFonts w:cs="Times New Roman"/>
          <w:lang w:eastAsia="zh-CN"/>
        </w:rPr>
        <w:t>有竞赛资料并将其交给承办单位就地保存。</w:t>
      </w:r>
    </w:p>
    <w:p>
      <w:pPr>
        <w:ind w:firstLine="0" w:firstLineChars="0"/>
        <w:rPr>
          <w:b/>
          <w:bCs/>
          <w:lang w:eastAsia="zh-CN"/>
        </w:rPr>
      </w:pPr>
      <w:bookmarkStart w:id="249" w:name="_Toc4711"/>
      <w:bookmarkStart w:id="250" w:name="_Toc109205580"/>
      <w:bookmarkStart w:id="251" w:name="_Toc108109380"/>
      <w:bookmarkStart w:id="252" w:name="_Toc108615568"/>
      <w:bookmarkStart w:id="253" w:name="_Toc142493521"/>
      <w:bookmarkStart w:id="254" w:name="_Toc108109267"/>
      <w:r>
        <w:rPr>
          <w:b/>
          <w:bCs/>
          <w:lang w:eastAsia="zh-CN"/>
        </w:rPr>
        <w:t>9.3.7成绩复核及数据录入、统计</w:t>
      </w:r>
      <w:bookmarkEnd w:id="249"/>
      <w:bookmarkEnd w:id="250"/>
      <w:bookmarkEnd w:id="251"/>
      <w:bookmarkEnd w:id="252"/>
      <w:bookmarkEnd w:id="253"/>
      <w:bookmarkEnd w:id="254"/>
    </w:p>
    <w:p>
      <w:pPr>
        <w:ind w:firstLine="560"/>
        <w:rPr>
          <w:rFonts w:cs="Times New Roman"/>
          <w:lang w:eastAsia="zh-CN"/>
        </w:rPr>
      </w:pPr>
      <w:r>
        <w:rPr>
          <w:lang w:eastAsia="zh-CN"/>
        </w:rPr>
        <w:t>如在成绩复核中发现错误，裁判长须</w:t>
      </w:r>
      <w:r>
        <w:rPr>
          <w:rFonts w:cs="Times New Roman"/>
          <w:spacing w:val="4"/>
          <w:lang w:eastAsia="zh-CN"/>
        </w:rPr>
        <w:t>会同相关评分裁判更正成</w:t>
      </w:r>
      <w:r>
        <w:rPr>
          <w:rFonts w:cs="Times New Roman"/>
          <w:spacing w:val="-1"/>
          <w:lang w:eastAsia="zh-CN"/>
        </w:rPr>
        <w:t>绩并</w:t>
      </w:r>
      <w:r>
        <w:rPr>
          <w:rFonts w:cs="Times New Roman"/>
          <w:lang w:eastAsia="zh-CN"/>
        </w:rPr>
        <w:t>签字确认。</w:t>
      </w:r>
    </w:p>
    <w:p>
      <w:pPr>
        <w:pStyle w:val="4"/>
        <w:rPr>
          <w:lang w:eastAsia="zh-CN"/>
        </w:rPr>
      </w:pPr>
      <w:bookmarkStart w:id="255" w:name="_Toc9465"/>
      <w:bookmarkStart w:id="256" w:name="_Toc107129653"/>
      <w:bookmarkStart w:id="257" w:name="_Toc106539828"/>
      <w:bookmarkStart w:id="258" w:name="_Toc28317"/>
      <w:bookmarkStart w:id="259" w:name="_Toc108109268"/>
      <w:bookmarkStart w:id="260" w:name="_TOC_300033"/>
      <w:bookmarkStart w:id="261" w:name="_Toc142493522"/>
      <w:r>
        <w:rPr>
          <w:lang w:eastAsia="zh-CN"/>
        </w:rPr>
        <w:t>9.4裁判员在评判工作中的任务</w:t>
      </w:r>
      <w:bookmarkEnd w:id="255"/>
      <w:bookmarkEnd w:id="256"/>
      <w:bookmarkEnd w:id="257"/>
      <w:bookmarkEnd w:id="258"/>
      <w:bookmarkEnd w:id="259"/>
      <w:bookmarkEnd w:id="260"/>
      <w:bookmarkEnd w:id="261"/>
    </w:p>
    <w:p>
      <w:pPr>
        <w:ind w:firstLine="580"/>
        <w:rPr>
          <w:rFonts w:cs="Times New Roman"/>
          <w:lang w:eastAsia="zh-CN"/>
        </w:rPr>
      </w:pPr>
      <w:r>
        <w:rPr>
          <w:rFonts w:cs="Times New Roman"/>
          <w:spacing w:val="5"/>
          <w:lang w:eastAsia="zh-CN"/>
        </w:rPr>
        <w:t>现场裁判根据裁判长的安排，在</w:t>
      </w:r>
      <w:r>
        <w:rPr>
          <w:rFonts w:cs="Times New Roman"/>
          <w:lang w:eastAsia="zh-CN"/>
        </w:rPr>
        <w:t>竞赛过程中进行执裁，根据参</w:t>
      </w:r>
      <w:r>
        <w:rPr>
          <w:rFonts w:cs="Times New Roman"/>
          <w:spacing w:val="-1"/>
          <w:lang w:eastAsia="zh-CN"/>
        </w:rPr>
        <w:t>赛选手的现场表现，依据赛题要求、</w:t>
      </w:r>
      <w:r>
        <w:rPr>
          <w:rFonts w:cs="Times New Roman"/>
          <w:lang w:eastAsia="zh-CN"/>
        </w:rPr>
        <w:t>评分细则完成过</w:t>
      </w:r>
      <w:r>
        <w:rPr>
          <w:rFonts w:cs="Times New Roman"/>
          <w:spacing w:val="-1"/>
          <w:lang w:eastAsia="zh-CN"/>
        </w:rPr>
        <w:t>程记录和评分，</w:t>
      </w:r>
      <w:r>
        <w:rPr>
          <w:rFonts w:cs="Times New Roman"/>
          <w:spacing w:val="5"/>
          <w:lang w:eastAsia="zh-CN"/>
        </w:rPr>
        <w:t>填写记录评分</w:t>
      </w:r>
      <w:r>
        <w:rPr>
          <w:rFonts w:cs="Times New Roman"/>
          <w:lang w:eastAsia="zh-CN"/>
        </w:rPr>
        <w:t>表并签字确认；结果评分裁判根据参赛选手提交的竞</w:t>
      </w:r>
      <w:r>
        <w:rPr>
          <w:rFonts w:cs="Times New Roman"/>
          <w:spacing w:val="5"/>
          <w:lang w:eastAsia="zh-CN"/>
        </w:rPr>
        <w:t>赛成果，依据</w:t>
      </w:r>
      <w:r>
        <w:rPr>
          <w:rFonts w:cs="Times New Roman"/>
          <w:lang w:eastAsia="zh-CN"/>
        </w:rPr>
        <w:t>评分细则进行评分；统分裁判负责在监督人员监督下完成统分工作，统分表须由统分裁判、</w:t>
      </w:r>
      <w:r>
        <w:rPr>
          <w:rFonts w:cs="Times New Roman"/>
          <w:spacing w:val="5"/>
          <w:lang w:eastAsia="zh-CN"/>
        </w:rPr>
        <w:t>裁判长、监督</w:t>
      </w:r>
      <w:r>
        <w:rPr>
          <w:rFonts w:cs="Times New Roman"/>
          <w:lang w:eastAsia="zh-CN"/>
        </w:rPr>
        <w:t>仲裁组成员共</w:t>
      </w:r>
      <w:r>
        <w:rPr>
          <w:rFonts w:cs="Times New Roman"/>
          <w:spacing w:val="5"/>
          <w:lang w:eastAsia="zh-CN"/>
        </w:rPr>
        <w:t>同签字确认。</w:t>
      </w:r>
      <w:r>
        <w:rPr>
          <w:rFonts w:cs="Times New Roman"/>
          <w:lang w:eastAsia="zh-CN"/>
        </w:rPr>
        <w:t>各模块统分结束后，统分裁判在监督仲裁人员监督下</w:t>
      </w:r>
      <w:r>
        <w:rPr>
          <w:rFonts w:cs="Times New Roman"/>
          <w:spacing w:val="5"/>
          <w:lang w:eastAsia="zh-CN"/>
        </w:rPr>
        <w:t>完成汇总计分</w:t>
      </w:r>
      <w:r>
        <w:rPr>
          <w:rFonts w:cs="Times New Roman"/>
          <w:lang w:eastAsia="zh-CN"/>
        </w:rPr>
        <w:t>工作，填写成绩汇总表。在正式公布竞赛成绩之前，</w:t>
      </w:r>
      <w:r>
        <w:rPr>
          <w:rFonts w:cs="Times New Roman"/>
          <w:spacing w:val="-1"/>
          <w:lang w:eastAsia="zh-CN"/>
        </w:rPr>
        <w:t>任何</w:t>
      </w:r>
      <w:r>
        <w:rPr>
          <w:rFonts w:cs="Times New Roman"/>
          <w:lang w:eastAsia="zh-CN"/>
        </w:rPr>
        <w:t>人员不得泄露评分结果。</w:t>
      </w:r>
    </w:p>
    <w:p>
      <w:pPr>
        <w:pStyle w:val="4"/>
        <w:rPr>
          <w:lang w:eastAsia="zh-CN"/>
        </w:rPr>
      </w:pPr>
      <w:bookmarkStart w:id="262" w:name="_Toc142493523"/>
      <w:bookmarkStart w:id="263" w:name="_Toc20474"/>
      <w:bookmarkStart w:id="264" w:name="_Toc108109269"/>
      <w:bookmarkStart w:id="265" w:name="_Toc106539829"/>
      <w:bookmarkStart w:id="266" w:name="_Toc107129654"/>
      <w:bookmarkStart w:id="267" w:name="_TOC_300034"/>
      <w:bookmarkStart w:id="268" w:name="_Toc7306"/>
      <w:r>
        <w:rPr>
          <w:lang w:eastAsia="zh-CN"/>
        </w:rPr>
        <w:t>9.5裁判员在评判中的纪律和要求</w:t>
      </w:r>
      <w:bookmarkEnd w:id="262"/>
      <w:bookmarkEnd w:id="263"/>
      <w:bookmarkEnd w:id="264"/>
      <w:bookmarkEnd w:id="265"/>
      <w:bookmarkEnd w:id="266"/>
      <w:bookmarkEnd w:id="267"/>
      <w:bookmarkEnd w:id="268"/>
    </w:p>
    <w:p>
      <w:pPr>
        <w:ind w:firstLine="580"/>
        <w:rPr>
          <w:rFonts w:ascii="仿宋_GB2312" w:cs="Times New Roman"/>
          <w:spacing w:val="5"/>
          <w:lang w:eastAsia="zh-CN"/>
        </w:rPr>
      </w:pPr>
      <w:r>
        <w:rPr>
          <w:rFonts w:hint="eastAsia" w:ascii="仿宋_GB2312" w:cs="Times New Roman"/>
          <w:spacing w:val="5"/>
          <w:lang w:eastAsia="zh-CN"/>
        </w:rPr>
        <w:t>（1）</w:t>
      </w:r>
      <w:r>
        <w:rPr>
          <w:rFonts w:ascii="仿宋_GB2312" w:cs="Times New Roman"/>
          <w:spacing w:val="5"/>
          <w:lang w:eastAsia="zh-CN"/>
        </w:rPr>
        <w:t>裁判必须服从竞赛规则要求，认真履行相关工作职责。裁判在工作期间不得使用手机、照相机、录像机等通信和数据存储设备。在竞赛、评分过程中，不得拍照赛题、图纸。</w:t>
      </w:r>
    </w:p>
    <w:p>
      <w:pPr>
        <w:ind w:firstLine="580"/>
        <w:rPr>
          <w:rFonts w:ascii="仿宋_GB2312" w:cs="Times New Roman"/>
          <w:spacing w:val="5"/>
          <w:lang w:eastAsia="zh-CN"/>
        </w:rPr>
      </w:pPr>
      <w:r>
        <w:rPr>
          <w:rFonts w:hint="eastAsia" w:ascii="仿宋_GB2312" w:cs="Times New Roman"/>
          <w:spacing w:val="5"/>
          <w:lang w:eastAsia="zh-CN"/>
        </w:rPr>
        <w:t>（2）</w:t>
      </w:r>
      <w:r>
        <w:rPr>
          <w:rFonts w:ascii="仿宋_GB2312" w:cs="Times New Roman"/>
          <w:spacing w:val="5"/>
          <w:lang w:eastAsia="zh-CN"/>
        </w:rPr>
        <w:t>监督仲裁人员不得干扰裁判工作，对于执裁评分的质疑应向裁判长提出，并由裁判长对相关问题</w:t>
      </w:r>
      <w:r>
        <w:rPr>
          <w:rFonts w:hint="eastAsia" w:ascii="仿宋_GB2312" w:cs="Times New Roman"/>
          <w:spacing w:val="5"/>
          <w:lang w:eastAsia="zh-CN"/>
        </w:rPr>
        <w:t>作出解释</w:t>
      </w:r>
      <w:r>
        <w:rPr>
          <w:rFonts w:ascii="仿宋_GB2312" w:cs="Times New Roman"/>
          <w:spacing w:val="5"/>
          <w:lang w:eastAsia="zh-CN"/>
        </w:rPr>
        <w:t>和解决。</w:t>
      </w:r>
    </w:p>
    <w:p>
      <w:pPr>
        <w:ind w:firstLine="580"/>
        <w:rPr>
          <w:rFonts w:ascii="仿宋_GB2312" w:cs="Times New Roman"/>
          <w:spacing w:val="5"/>
          <w:lang w:eastAsia="zh-CN"/>
        </w:rPr>
      </w:pPr>
      <w:r>
        <w:rPr>
          <w:rFonts w:hint="eastAsia" w:ascii="仿宋_GB2312" w:cs="Times New Roman"/>
          <w:spacing w:val="5"/>
          <w:lang w:eastAsia="zh-CN"/>
        </w:rPr>
        <w:t>（3）</w:t>
      </w:r>
      <w:r>
        <w:rPr>
          <w:rFonts w:ascii="仿宋_GB2312" w:cs="Times New Roman"/>
          <w:spacing w:val="5"/>
          <w:lang w:eastAsia="zh-CN"/>
        </w:rPr>
        <w:t>过程评分要由至少两</w:t>
      </w:r>
      <w:r>
        <w:rPr>
          <w:rFonts w:hint="eastAsia" w:ascii="仿宋_GB2312" w:cs="Times New Roman"/>
          <w:spacing w:val="5"/>
          <w:lang w:eastAsia="zh-CN"/>
        </w:rPr>
        <w:t>名</w:t>
      </w:r>
      <w:r>
        <w:rPr>
          <w:rFonts w:ascii="仿宋_GB2312" w:cs="Times New Roman"/>
          <w:spacing w:val="5"/>
          <w:lang w:eastAsia="zh-CN"/>
        </w:rPr>
        <w:t>裁判共同执裁。</w:t>
      </w:r>
    </w:p>
    <w:p>
      <w:pPr>
        <w:ind w:firstLine="580"/>
        <w:rPr>
          <w:rFonts w:ascii="仿宋_GB2312" w:cs="Times New Roman"/>
          <w:spacing w:val="5"/>
          <w:lang w:eastAsia="zh-CN"/>
        </w:rPr>
      </w:pPr>
      <w:r>
        <w:rPr>
          <w:rFonts w:hint="eastAsia" w:ascii="仿宋_GB2312" w:cs="Times New Roman"/>
          <w:spacing w:val="5"/>
          <w:lang w:eastAsia="zh-CN"/>
        </w:rPr>
        <w:t>（</w:t>
      </w:r>
      <w:r>
        <w:rPr>
          <w:rFonts w:ascii="仿宋_GB2312" w:cs="Times New Roman"/>
          <w:spacing w:val="5"/>
          <w:lang w:eastAsia="zh-CN"/>
        </w:rPr>
        <w:t>4</w:t>
      </w:r>
      <w:r>
        <w:rPr>
          <w:rFonts w:hint="eastAsia" w:ascii="仿宋_GB2312" w:cs="Times New Roman"/>
          <w:spacing w:val="5"/>
          <w:lang w:eastAsia="zh-CN"/>
        </w:rPr>
        <w:t>）</w:t>
      </w:r>
      <w:r>
        <w:rPr>
          <w:rFonts w:ascii="仿宋_GB2312" w:cs="Times New Roman"/>
          <w:spacing w:val="5"/>
          <w:lang w:eastAsia="zh-CN"/>
        </w:rPr>
        <w:t>现场裁判应及时响应参赛选手提出的问题和合理要求。</w:t>
      </w:r>
    </w:p>
    <w:p>
      <w:pPr>
        <w:ind w:firstLine="580"/>
        <w:rPr>
          <w:rFonts w:ascii="仿宋_GB2312" w:cs="Times New Roman"/>
          <w:lang w:eastAsia="zh-CN"/>
        </w:rPr>
      </w:pPr>
      <w:r>
        <w:rPr>
          <w:rFonts w:hint="eastAsia" w:ascii="仿宋_GB2312" w:cs="Times New Roman"/>
          <w:spacing w:val="5"/>
          <w:lang w:eastAsia="zh-CN"/>
        </w:rPr>
        <w:t>（5）</w:t>
      </w:r>
      <w:r>
        <w:rPr>
          <w:rFonts w:ascii="仿宋_GB2312" w:cs="Times New Roman"/>
          <w:spacing w:val="5"/>
          <w:lang w:eastAsia="zh-CN"/>
        </w:rPr>
        <w:t>现场裁判发现选手不当操作可能产生安全问题，应及时提醒，并做</w:t>
      </w:r>
      <w:r>
        <w:rPr>
          <w:rFonts w:ascii="仿宋_GB2312" w:cs="Times New Roman"/>
          <w:lang w:eastAsia="zh-CN"/>
        </w:rPr>
        <w:t>好记录。</w:t>
      </w:r>
    </w:p>
    <w:p>
      <w:pPr>
        <w:ind w:firstLine="580"/>
        <w:rPr>
          <w:rFonts w:ascii="仿宋_GB2312" w:cs="Times New Roman"/>
          <w:spacing w:val="5"/>
          <w:lang w:eastAsia="zh-CN"/>
        </w:rPr>
      </w:pPr>
      <w:r>
        <w:rPr>
          <w:rFonts w:hint="eastAsia" w:ascii="仿宋_GB2312" w:cs="Times New Roman"/>
          <w:spacing w:val="5"/>
          <w:lang w:eastAsia="zh-CN"/>
        </w:rPr>
        <w:t>（6）</w:t>
      </w:r>
      <w:r>
        <w:rPr>
          <w:rFonts w:ascii="仿宋_GB2312" w:cs="Times New Roman"/>
          <w:spacing w:val="5"/>
          <w:lang w:eastAsia="zh-CN"/>
        </w:rPr>
        <w:t>现场裁判不得在竞赛选手附近评论或讨论任何问题。</w:t>
      </w:r>
    </w:p>
    <w:p>
      <w:pPr>
        <w:ind w:firstLine="580"/>
        <w:rPr>
          <w:rFonts w:ascii="仿宋_GB2312" w:cs="Times New Roman"/>
          <w:spacing w:val="5"/>
          <w:lang w:eastAsia="zh-CN"/>
        </w:rPr>
      </w:pPr>
      <w:r>
        <w:rPr>
          <w:rFonts w:hint="eastAsia" w:ascii="仿宋_GB2312" w:cs="Times New Roman"/>
          <w:spacing w:val="5"/>
          <w:lang w:eastAsia="zh-CN"/>
        </w:rPr>
        <w:t>（7）</w:t>
      </w:r>
      <w:r>
        <w:rPr>
          <w:rFonts w:ascii="仿宋_GB2312" w:cs="Times New Roman"/>
          <w:spacing w:val="5"/>
          <w:lang w:eastAsia="zh-CN"/>
        </w:rPr>
        <w:t>职业素养评判时不得相互讨论，不得引导他人判断。</w:t>
      </w:r>
    </w:p>
    <w:p>
      <w:pPr>
        <w:ind w:firstLine="580"/>
        <w:rPr>
          <w:rFonts w:ascii="仿宋_GB2312" w:cs="Times New Roman"/>
          <w:spacing w:val="5"/>
          <w:lang w:eastAsia="zh-CN"/>
        </w:rPr>
      </w:pPr>
      <w:r>
        <w:rPr>
          <w:rFonts w:hint="eastAsia" w:ascii="仿宋_GB2312" w:cs="Times New Roman"/>
          <w:spacing w:val="5"/>
          <w:lang w:eastAsia="zh-CN"/>
        </w:rPr>
        <w:t>（</w:t>
      </w:r>
      <w:r>
        <w:rPr>
          <w:rFonts w:ascii="仿宋_GB2312" w:cs="Times New Roman"/>
          <w:spacing w:val="5"/>
          <w:lang w:eastAsia="zh-CN"/>
        </w:rPr>
        <w:t>8</w:t>
      </w:r>
      <w:r>
        <w:rPr>
          <w:rFonts w:hint="eastAsia" w:ascii="仿宋_GB2312" w:cs="Times New Roman"/>
          <w:spacing w:val="5"/>
          <w:lang w:eastAsia="zh-CN"/>
        </w:rPr>
        <w:t>）</w:t>
      </w:r>
      <w:r>
        <w:rPr>
          <w:rFonts w:ascii="仿宋_GB2312" w:cs="Times New Roman"/>
          <w:spacing w:val="5"/>
          <w:lang w:eastAsia="zh-CN"/>
        </w:rPr>
        <w:t>裁判长有权对评判不当造成不良影响等情况的裁判人员</w:t>
      </w:r>
      <w:r>
        <w:rPr>
          <w:rFonts w:hint="eastAsia" w:ascii="仿宋_GB2312" w:cs="Times New Roman"/>
          <w:spacing w:val="5"/>
          <w:lang w:eastAsia="zh-CN"/>
        </w:rPr>
        <w:t>作出</w:t>
      </w:r>
      <w:r>
        <w:rPr>
          <w:rFonts w:ascii="仿宋_GB2312" w:cs="Times New Roman"/>
          <w:spacing w:val="5"/>
          <w:lang w:eastAsia="zh-CN"/>
        </w:rPr>
        <w:t>终止其裁判工作的处理。</w:t>
      </w:r>
    </w:p>
    <w:p>
      <w:pPr>
        <w:pStyle w:val="3"/>
        <w:rPr>
          <w:lang w:eastAsia="zh-CN"/>
        </w:rPr>
      </w:pPr>
      <w:bookmarkStart w:id="269" w:name="_TOC_300035"/>
      <w:bookmarkStart w:id="270" w:name="_Toc108109270"/>
      <w:bookmarkStart w:id="271" w:name="_Toc106539830"/>
      <w:bookmarkStart w:id="272" w:name="_Toc107129655"/>
      <w:bookmarkStart w:id="273" w:name="_Toc142493524"/>
      <w:bookmarkStart w:id="274" w:name="_Toc1629"/>
      <w:bookmarkStart w:id="275" w:name="_Toc19716"/>
      <w:r>
        <w:rPr>
          <w:lang w:eastAsia="zh-CN"/>
        </w:rPr>
        <w:t>10选手条</w:t>
      </w:r>
      <w:bookmarkEnd w:id="269"/>
      <w:r>
        <w:rPr>
          <w:lang w:eastAsia="zh-CN"/>
        </w:rPr>
        <w:t>件和工作内容</w:t>
      </w:r>
      <w:bookmarkEnd w:id="270"/>
      <w:bookmarkEnd w:id="271"/>
      <w:bookmarkEnd w:id="272"/>
      <w:bookmarkEnd w:id="273"/>
      <w:bookmarkEnd w:id="274"/>
      <w:bookmarkEnd w:id="275"/>
    </w:p>
    <w:p>
      <w:pPr>
        <w:pStyle w:val="4"/>
        <w:rPr>
          <w:lang w:eastAsia="zh-CN"/>
        </w:rPr>
      </w:pPr>
      <w:bookmarkStart w:id="276" w:name="_TOC_300036"/>
      <w:bookmarkStart w:id="277" w:name="_Toc106539831"/>
      <w:bookmarkStart w:id="278" w:name="_Toc1088"/>
      <w:bookmarkStart w:id="279" w:name="_Toc5938"/>
      <w:bookmarkStart w:id="280" w:name="_Toc108109271"/>
      <w:bookmarkStart w:id="281" w:name="_Toc142493525"/>
      <w:bookmarkStart w:id="282" w:name="_Toc107129656"/>
      <w:r>
        <w:rPr>
          <w:lang w:eastAsia="zh-CN"/>
        </w:rPr>
        <w:t>10.1选手的条件和要求</w:t>
      </w:r>
      <w:bookmarkEnd w:id="276"/>
      <w:bookmarkEnd w:id="277"/>
      <w:bookmarkEnd w:id="278"/>
      <w:bookmarkEnd w:id="279"/>
      <w:bookmarkEnd w:id="280"/>
      <w:bookmarkEnd w:id="281"/>
      <w:bookmarkEnd w:id="282"/>
    </w:p>
    <w:p>
      <w:pPr>
        <w:ind w:firstLine="560"/>
        <w:rPr>
          <w:rFonts w:cs="Times New Roman"/>
          <w:lang w:eastAsia="zh-CN"/>
        </w:rPr>
      </w:pPr>
      <w:r>
        <w:rPr>
          <w:rFonts w:cs="Times New Roman"/>
          <w:lang w:eastAsia="zh-CN"/>
        </w:rPr>
        <w:t>凡从事相关专业或职业的企业职工、</w:t>
      </w:r>
      <w:r>
        <w:rPr>
          <w:rFonts w:cs="Times New Roman"/>
          <w:spacing w:val="5"/>
          <w:lang w:eastAsia="zh-CN"/>
        </w:rPr>
        <w:t>院校</w:t>
      </w:r>
      <w:r>
        <w:rPr>
          <w:rFonts w:cs="Times New Roman"/>
          <w:lang w:eastAsia="zh-CN"/>
        </w:rPr>
        <w:t>教师、职业院校（含</w:t>
      </w:r>
      <w:r>
        <w:rPr>
          <w:rFonts w:cs="Times New Roman"/>
          <w:spacing w:val="3"/>
          <w:lang w:eastAsia="zh-CN"/>
        </w:rPr>
        <w:t>技工院校）</w:t>
      </w:r>
      <w:r>
        <w:rPr>
          <w:rFonts w:cs="Times New Roman"/>
          <w:spacing w:val="5"/>
          <w:lang w:eastAsia="zh-CN"/>
        </w:rPr>
        <w:t>在籍学生均可报名参加本次</w:t>
      </w:r>
      <w:r>
        <w:rPr>
          <w:rFonts w:cs="Times New Roman"/>
          <w:spacing w:val="3"/>
          <w:lang w:eastAsia="zh-CN"/>
        </w:rPr>
        <w:t>比赛。具体报名通知另行发</w:t>
      </w:r>
      <w:r>
        <w:rPr>
          <w:rFonts w:cs="Times New Roman"/>
          <w:spacing w:val="-1"/>
          <w:lang w:eastAsia="zh-CN"/>
        </w:rPr>
        <w:t>布。</w:t>
      </w:r>
    </w:p>
    <w:p>
      <w:pPr>
        <w:pStyle w:val="4"/>
        <w:rPr>
          <w:lang w:eastAsia="zh-CN"/>
        </w:rPr>
      </w:pPr>
      <w:bookmarkStart w:id="283" w:name="_Toc4530"/>
      <w:bookmarkStart w:id="284" w:name="_Toc107129657"/>
      <w:bookmarkStart w:id="285" w:name="_Toc18102"/>
      <w:bookmarkStart w:id="286" w:name="_Toc106539832"/>
      <w:bookmarkStart w:id="287" w:name="_Toc108109272"/>
      <w:bookmarkStart w:id="288" w:name="_Toc142493526"/>
      <w:bookmarkStart w:id="289" w:name="_TOC_300037"/>
      <w:r>
        <w:rPr>
          <w:lang w:eastAsia="zh-CN"/>
        </w:rPr>
        <w:t>10.2选手的工作内容</w:t>
      </w:r>
      <w:bookmarkEnd w:id="283"/>
      <w:bookmarkEnd w:id="284"/>
      <w:bookmarkEnd w:id="285"/>
      <w:bookmarkEnd w:id="286"/>
      <w:bookmarkEnd w:id="287"/>
      <w:bookmarkEnd w:id="288"/>
      <w:bookmarkEnd w:id="289"/>
    </w:p>
    <w:p>
      <w:pPr>
        <w:ind w:firstLine="560"/>
        <w:rPr>
          <w:rFonts w:ascii="仿宋_GB2312" w:cs="Times New Roman"/>
          <w:lang w:eastAsia="zh-CN"/>
        </w:rPr>
      </w:pPr>
      <w:r>
        <w:rPr>
          <w:rFonts w:ascii="仿宋_GB2312" w:cs="Times New Roman"/>
          <w:lang w:eastAsia="zh-CN"/>
        </w:rPr>
        <w:t>（1）赛前安排</w:t>
      </w:r>
      <w:r>
        <w:rPr>
          <w:rFonts w:ascii="仿宋_GB2312" w:cs="Times New Roman"/>
          <w:spacing w:val="-1"/>
          <w:lang w:eastAsia="zh-CN"/>
        </w:rPr>
        <w:t>各参赛队选手统一有序</w:t>
      </w:r>
      <w:r>
        <w:rPr>
          <w:rFonts w:hint="eastAsia" w:ascii="仿宋_GB2312" w:cs="Times New Roman"/>
          <w:spacing w:val="-1"/>
          <w:lang w:eastAsia="zh-CN"/>
        </w:rPr>
        <w:t>地</w:t>
      </w:r>
      <w:r>
        <w:rPr>
          <w:rFonts w:ascii="仿宋_GB2312" w:cs="Times New Roman"/>
          <w:spacing w:val="-1"/>
          <w:lang w:eastAsia="zh-CN"/>
        </w:rPr>
        <w:t>熟悉竞赛场地和设备，允许使用电脑软件、</w:t>
      </w:r>
      <w:r>
        <w:rPr>
          <w:rFonts w:ascii="仿宋_GB2312" w:cs="Times New Roman"/>
          <w:lang w:eastAsia="zh-CN"/>
        </w:rPr>
        <w:t>测试通信，不允许拆</w:t>
      </w:r>
      <w:r>
        <w:rPr>
          <w:rFonts w:ascii="仿宋_GB2312" w:cs="Times New Roman"/>
          <w:spacing w:val="-1"/>
          <w:lang w:eastAsia="zh-CN"/>
        </w:rPr>
        <w:t>装设备、不允许修改软件、设备</w:t>
      </w:r>
      <w:r>
        <w:rPr>
          <w:rFonts w:ascii="仿宋_GB2312" w:cs="Times New Roman"/>
          <w:lang w:eastAsia="zh-CN"/>
        </w:rPr>
        <w:t>参数等。</w:t>
      </w:r>
      <w:r>
        <w:rPr>
          <w:rFonts w:ascii="仿宋_GB2312" w:cs="Times New Roman"/>
          <w:spacing w:val="-1"/>
          <w:lang w:eastAsia="zh-CN"/>
        </w:rPr>
        <w:t>熟悉场地时，不得</w:t>
      </w:r>
      <w:r>
        <w:rPr>
          <w:rFonts w:ascii="仿宋_GB2312" w:cs="Times New Roman"/>
          <w:lang w:eastAsia="zh-CN"/>
        </w:rPr>
        <w:t>携带手机、相机等设备，不得对赛场及</w:t>
      </w:r>
      <w:r>
        <w:rPr>
          <w:rFonts w:ascii="仿宋_GB2312" w:cs="Times New Roman"/>
          <w:spacing w:val="-1"/>
          <w:lang w:eastAsia="zh-CN"/>
        </w:rPr>
        <w:t>赛场</w:t>
      </w:r>
      <w:r>
        <w:rPr>
          <w:rFonts w:ascii="仿宋_GB2312" w:cs="Times New Roman"/>
          <w:lang w:eastAsia="zh-CN"/>
        </w:rPr>
        <w:t>设备拍照。熟</w:t>
      </w:r>
      <w:r>
        <w:rPr>
          <w:rFonts w:ascii="仿宋_GB2312" w:cs="Times New Roman"/>
          <w:spacing w:val="-1"/>
          <w:lang w:eastAsia="zh-CN"/>
        </w:rPr>
        <w:t>悉场地时不发表没有根据以及有损大赛整体形象的言论。熟悉场地时严格遵</w:t>
      </w:r>
      <w:r>
        <w:rPr>
          <w:rFonts w:ascii="仿宋_GB2312" w:cs="Times New Roman"/>
          <w:lang w:eastAsia="zh-CN"/>
        </w:rPr>
        <w:t>守大赛各种制度，严禁拥挤、喧哗，以</w:t>
      </w:r>
      <w:r>
        <w:rPr>
          <w:rFonts w:ascii="仿宋_GB2312" w:cs="Times New Roman"/>
          <w:spacing w:val="-1"/>
          <w:lang w:eastAsia="zh-CN"/>
        </w:rPr>
        <w:t>免发</w:t>
      </w:r>
      <w:r>
        <w:rPr>
          <w:rFonts w:ascii="仿宋_GB2312" w:cs="Times New Roman"/>
          <w:lang w:eastAsia="zh-CN"/>
        </w:rPr>
        <w:t>生意外事故。</w:t>
      </w:r>
    </w:p>
    <w:p>
      <w:pPr>
        <w:ind w:firstLine="560"/>
        <w:rPr>
          <w:rFonts w:ascii="仿宋_GB2312" w:cs="Times New Roman"/>
          <w:lang w:eastAsia="zh-CN"/>
        </w:rPr>
      </w:pPr>
      <w:bookmarkStart w:id="290" w:name="_Toc108615575"/>
      <w:bookmarkStart w:id="291" w:name="_Toc108109274"/>
      <w:bookmarkStart w:id="292" w:name="_Toc108109387"/>
      <w:r>
        <w:rPr>
          <w:rFonts w:hint="eastAsia" w:ascii="仿宋_GB2312" w:cs="Times New Roman"/>
          <w:lang w:eastAsia="zh-CN"/>
        </w:rPr>
        <w:t>（2）</w:t>
      </w:r>
      <w:r>
        <w:rPr>
          <w:rFonts w:ascii="仿宋_GB2312" w:cs="Times New Roman"/>
          <w:lang w:eastAsia="zh-CN"/>
        </w:rPr>
        <w:t>检录时选手抽签确定赛位</w:t>
      </w:r>
      <w:r>
        <w:rPr>
          <w:rFonts w:hint="eastAsia" w:ascii="仿宋_GB2312" w:cs="Times New Roman"/>
          <w:lang w:eastAsia="zh-CN"/>
        </w:rPr>
        <w:t>。</w:t>
      </w:r>
      <w:bookmarkEnd w:id="290"/>
      <w:bookmarkEnd w:id="291"/>
      <w:bookmarkEnd w:id="292"/>
    </w:p>
    <w:p>
      <w:pPr>
        <w:ind w:firstLine="560"/>
        <w:rPr>
          <w:rFonts w:ascii="仿宋_GB2312" w:cs="Times New Roman"/>
          <w:lang w:eastAsia="zh-CN"/>
        </w:rPr>
      </w:pPr>
      <w:bookmarkStart w:id="293" w:name="_Toc108109388"/>
      <w:bookmarkStart w:id="294" w:name="_Toc108615576"/>
      <w:bookmarkStart w:id="295" w:name="_Toc108109275"/>
      <w:r>
        <w:rPr>
          <w:rFonts w:hint="eastAsia" w:ascii="仿宋_GB2312" w:cs="Times New Roman"/>
          <w:lang w:eastAsia="zh-CN"/>
        </w:rPr>
        <w:t>（3）</w:t>
      </w:r>
      <w:r>
        <w:rPr>
          <w:rFonts w:ascii="仿宋_GB2312" w:cs="Times New Roman"/>
          <w:lang w:eastAsia="zh-CN"/>
        </w:rPr>
        <w:t>竞赛过程中</w:t>
      </w:r>
      <w:r>
        <w:rPr>
          <w:rFonts w:hint="eastAsia" w:ascii="仿宋_GB2312" w:cs="Times New Roman"/>
          <w:lang w:eastAsia="zh-CN"/>
        </w:rPr>
        <w:t>，</w:t>
      </w:r>
      <w:r>
        <w:rPr>
          <w:rFonts w:ascii="仿宋_GB2312" w:cs="Times New Roman"/>
          <w:lang w:eastAsia="zh-CN"/>
        </w:rPr>
        <w:t>选手遵守竞赛纪律，服从赛场规范，按照赛题要求完成竞赛。</w:t>
      </w:r>
      <w:bookmarkEnd w:id="293"/>
      <w:bookmarkEnd w:id="294"/>
      <w:bookmarkEnd w:id="295"/>
    </w:p>
    <w:p>
      <w:pPr>
        <w:ind w:firstLine="560"/>
        <w:rPr>
          <w:rFonts w:ascii="仿宋_GB2312" w:cs="Times New Roman"/>
          <w:lang w:eastAsia="zh-CN"/>
        </w:rPr>
      </w:pPr>
      <w:bookmarkStart w:id="296" w:name="_Toc108109276"/>
      <w:bookmarkStart w:id="297" w:name="_Toc108615577"/>
      <w:bookmarkStart w:id="298" w:name="_Toc108109389"/>
      <w:r>
        <w:rPr>
          <w:rFonts w:hint="eastAsia" w:ascii="仿宋_GB2312" w:cs="Times New Roman"/>
          <w:lang w:eastAsia="zh-CN"/>
        </w:rPr>
        <w:t>（4）</w:t>
      </w:r>
      <w:r>
        <w:rPr>
          <w:rFonts w:ascii="仿宋_GB2312" w:cs="Times New Roman"/>
          <w:lang w:eastAsia="zh-CN"/>
        </w:rPr>
        <w:t>竞赛结束时</w:t>
      </w:r>
      <w:r>
        <w:rPr>
          <w:rFonts w:hint="eastAsia" w:ascii="仿宋_GB2312" w:cs="Times New Roman"/>
          <w:lang w:eastAsia="zh-CN"/>
        </w:rPr>
        <w:t>，</w:t>
      </w:r>
      <w:r>
        <w:rPr>
          <w:rFonts w:ascii="仿宋_GB2312" w:cs="Times New Roman"/>
          <w:lang w:eastAsia="zh-CN"/>
        </w:rPr>
        <w:t>选手按照裁判员要求停止操作，并提交电子存储设备、赛题、图纸、草稿纸等所有</w:t>
      </w:r>
      <w:r>
        <w:rPr>
          <w:rFonts w:hint="eastAsia" w:ascii="仿宋_GB2312" w:cs="Times New Roman"/>
          <w:lang w:eastAsia="zh-CN"/>
        </w:rPr>
        <w:t>相关资料</w:t>
      </w:r>
      <w:r>
        <w:rPr>
          <w:rFonts w:ascii="仿宋_GB2312" w:cs="Times New Roman"/>
          <w:lang w:eastAsia="zh-CN"/>
        </w:rPr>
        <w:t>。</w:t>
      </w:r>
      <w:bookmarkEnd w:id="296"/>
      <w:bookmarkEnd w:id="297"/>
      <w:bookmarkEnd w:id="298"/>
    </w:p>
    <w:p>
      <w:pPr>
        <w:pStyle w:val="4"/>
        <w:rPr>
          <w:lang w:eastAsia="zh-CN"/>
        </w:rPr>
      </w:pPr>
      <w:bookmarkStart w:id="299" w:name="_Toc22580"/>
      <w:bookmarkStart w:id="300" w:name="_Toc142493527"/>
      <w:bookmarkStart w:id="301" w:name="_Toc26750"/>
      <w:bookmarkStart w:id="302" w:name="_Toc106539833"/>
      <w:bookmarkStart w:id="303" w:name="_Toc108109277"/>
      <w:bookmarkStart w:id="304" w:name="_TOC_300038"/>
      <w:bookmarkStart w:id="305" w:name="_Toc107129658"/>
      <w:r>
        <w:rPr>
          <w:lang w:eastAsia="zh-CN"/>
        </w:rPr>
        <w:t>10.3选手文明参赛要求</w:t>
      </w:r>
      <w:bookmarkEnd w:id="299"/>
      <w:bookmarkEnd w:id="300"/>
      <w:bookmarkEnd w:id="301"/>
    </w:p>
    <w:p>
      <w:pPr>
        <w:ind w:firstLine="556"/>
        <w:rPr>
          <w:rFonts w:ascii="仿宋_GB2312" w:cs="Times New Roman"/>
          <w:lang w:eastAsia="zh-CN"/>
        </w:rPr>
      </w:pPr>
      <w:r>
        <w:rPr>
          <w:rFonts w:ascii="仿宋_GB2312" w:cs="Times New Roman"/>
          <w:spacing w:val="-1"/>
          <w:lang w:eastAsia="zh-CN"/>
        </w:rPr>
        <w:t>（1）竞赛现场提供竞赛设备</w:t>
      </w:r>
      <w:r>
        <w:rPr>
          <w:rFonts w:ascii="仿宋_GB2312" w:cs="Times New Roman"/>
          <w:lang w:eastAsia="zh-CN"/>
        </w:rPr>
        <w:t>、计算机及相关软件、相关技术资</w:t>
      </w:r>
      <w:r>
        <w:rPr>
          <w:rFonts w:ascii="仿宋_GB2312" w:cs="Times New Roman"/>
          <w:spacing w:val="3"/>
          <w:lang w:eastAsia="zh-CN"/>
        </w:rPr>
        <w:t>料、</w:t>
      </w:r>
      <w:r>
        <w:rPr>
          <w:rFonts w:ascii="仿宋_GB2312" w:cs="Times New Roman"/>
          <w:spacing w:val="4"/>
          <w:lang w:eastAsia="zh-CN"/>
        </w:rPr>
        <w:t>工具、仪器等，选手不得自带任何纸质资料和存储工</w:t>
      </w:r>
      <w:r>
        <w:rPr>
          <w:rFonts w:ascii="仿宋_GB2312" w:cs="Times New Roman"/>
          <w:spacing w:val="3"/>
          <w:lang w:eastAsia="zh-CN"/>
        </w:rPr>
        <w:t>具，如出</w:t>
      </w:r>
      <w:r>
        <w:rPr>
          <w:rFonts w:ascii="仿宋_GB2312" w:cs="Times New Roman"/>
          <w:lang w:eastAsia="zh-CN"/>
        </w:rPr>
        <w:t>现严重的违规、</w:t>
      </w:r>
      <w:r>
        <w:rPr>
          <w:rFonts w:ascii="仿宋_GB2312" w:cs="Times New Roman"/>
          <w:spacing w:val="-1"/>
          <w:lang w:eastAsia="zh-CN"/>
        </w:rPr>
        <w:t>违纪</w:t>
      </w:r>
      <w:r>
        <w:rPr>
          <w:rFonts w:ascii="仿宋_GB2312" w:cs="Times New Roman"/>
          <w:lang w:eastAsia="zh-CN"/>
        </w:rPr>
        <w:t>、舞弊等现象，经裁判组裁定取消竞赛成绩。</w:t>
      </w:r>
    </w:p>
    <w:p>
      <w:pPr>
        <w:ind w:firstLine="556"/>
        <w:rPr>
          <w:rFonts w:ascii="仿宋_GB2312" w:cs="Times New Roman"/>
          <w:lang w:eastAsia="zh-CN"/>
        </w:rPr>
      </w:pPr>
      <w:r>
        <w:rPr>
          <w:rFonts w:ascii="仿宋_GB2312" w:cs="Times New Roman"/>
          <w:spacing w:val="-1"/>
          <w:lang w:eastAsia="zh-CN"/>
        </w:rPr>
        <w:t>（2）参赛选手必须及时备份</w:t>
      </w:r>
      <w:r>
        <w:rPr>
          <w:rFonts w:ascii="仿宋_GB2312" w:cs="Times New Roman"/>
          <w:lang w:eastAsia="zh-CN"/>
        </w:rPr>
        <w:t>和保存自己的竞赛数据，防止意外</w:t>
      </w:r>
      <w:r>
        <w:rPr>
          <w:rFonts w:ascii="仿宋_GB2312" w:cs="Times New Roman"/>
          <w:spacing w:val="4"/>
          <w:lang w:eastAsia="zh-CN"/>
        </w:rPr>
        <w:t>断电</w:t>
      </w:r>
      <w:r>
        <w:rPr>
          <w:rFonts w:hint="eastAsia" w:ascii="仿宋_GB2312" w:cs="Times New Roman"/>
          <w:spacing w:val="4"/>
          <w:lang w:eastAsia="zh-CN"/>
        </w:rPr>
        <w:t>及其他</w:t>
      </w:r>
      <w:r>
        <w:rPr>
          <w:rFonts w:ascii="仿宋_GB2312" w:cs="Times New Roman"/>
          <w:spacing w:val="4"/>
          <w:lang w:eastAsia="zh-CN"/>
        </w:rPr>
        <w:t>情况造成程序或资料的丢失。不按要求存</w:t>
      </w:r>
      <w:r>
        <w:rPr>
          <w:rFonts w:ascii="仿宋_GB2312" w:cs="Times New Roman"/>
          <w:spacing w:val="3"/>
          <w:lang w:eastAsia="zh-CN"/>
        </w:rPr>
        <w:t>储数据，导致</w:t>
      </w:r>
      <w:r>
        <w:rPr>
          <w:rFonts w:ascii="仿宋_GB2312" w:cs="Times New Roman"/>
          <w:spacing w:val="-1"/>
          <w:lang w:eastAsia="zh-CN"/>
        </w:rPr>
        <w:t>数据</w:t>
      </w:r>
      <w:r>
        <w:rPr>
          <w:rFonts w:ascii="仿宋_GB2312" w:cs="Times New Roman"/>
          <w:lang w:eastAsia="zh-CN"/>
        </w:rPr>
        <w:t>丢失者，责任自负。</w:t>
      </w:r>
    </w:p>
    <w:p>
      <w:pPr>
        <w:ind w:firstLine="560"/>
        <w:rPr>
          <w:rFonts w:ascii="仿宋_GB2312" w:cs="Times New Roman"/>
          <w:lang w:eastAsia="zh-CN"/>
        </w:rPr>
      </w:pPr>
      <w:r>
        <w:rPr>
          <w:rFonts w:ascii="仿宋_GB2312" w:cs="Times New Roman"/>
          <w:lang w:eastAsia="zh-CN"/>
        </w:rPr>
        <w:t>（3）参赛</w:t>
      </w:r>
      <w:r>
        <w:rPr>
          <w:rFonts w:ascii="仿宋_GB2312" w:cs="Times New Roman"/>
          <w:spacing w:val="-1"/>
          <w:lang w:eastAsia="zh-CN"/>
        </w:rPr>
        <w:t>队的竞赛场次和工位号采取抽签的方式确定，竞赛场次签</w:t>
      </w:r>
      <w:r>
        <w:rPr>
          <w:rFonts w:ascii="仿宋_GB2312" w:cs="Times New Roman"/>
          <w:lang w:eastAsia="zh-CN"/>
        </w:rPr>
        <w:t>在赛前领队会上抽取，工位签在赛前检录时抽取。</w:t>
      </w:r>
    </w:p>
    <w:p>
      <w:pPr>
        <w:ind w:firstLine="556"/>
        <w:rPr>
          <w:rFonts w:ascii="仿宋_GB2312" w:cs="Times New Roman"/>
          <w:lang w:eastAsia="zh-CN"/>
        </w:rPr>
      </w:pPr>
      <w:r>
        <w:rPr>
          <w:rFonts w:ascii="仿宋_GB2312" w:cs="Times New Roman"/>
          <w:spacing w:val="-1"/>
          <w:lang w:eastAsia="zh-CN"/>
        </w:rPr>
        <w:t>（4）参赛队按照参赛场次进</w:t>
      </w:r>
      <w:r>
        <w:rPr>
          <w:rFonts w:ascii="仿宋_GB2312" w:cs="Times New Roman"/>
          <w:lang w:eastAsia="zh-CN"/>
        </w:rPr>
        <w:t>入竞赛场地，利用现场提供的所有</w:t>
      </w:r>
      <w:r>
        <w:rPr>
          <w:rFonts w:ascii="仿宋_GB2312" w:cs="Times New Roman"/>
          <w:spacing w:val="-1"/>
          <w:lang w:eastAsia="zh-CN"/>
        </w:rPr>
        <w:t>条件</w:t>
      </w:r>
      <w:r>
        <w:rPr>
          <w:rFonts w:ascii="仿宋_GB2312" w:cs="Times New Roman"/>
          <w:lang w:eastAsia="zh-CN"/>
        </w:rPr>
        <w:t>，在规定时间内完成竞赛任务。</w:t>
      </w:r>
    </w:p>
    <w:p>
      <w:pPr>
        <w:ind w:firstLine="540"/>
        <w:rPr>
          <w:rFonts w:ascii="仿宋_GB2312" w:cs="Times New Roman"/>
          <w:lang w:eastAsia="zh-CN"/>
        </w:rPr>
      </w:pPr>
      <w:r>
        <w:rPr>
          <w:rFonts w:ascii="仿宋_GB2312" w:cs="Times New Roman"/>
          <w:spacing w:val="-5"/>
          <w:lang w:eastAsia="zh-CN"/>
        </w:rPr>
        <w:t>（5）每个组别同场竞赛使用相同赛题，</w:t>
      </w:r>
      <w:r>
        <w:rPr>
          <w:rFonts w:ascii="仿宋_GB2312" w:cs="Times New Roman"/>
          <w:spacing w:val="-6"/>
          <w:lang w:eastAsia="zh-CN"/>
        </w:rPr>
        <w:t>不同场次使</w:t>
      </w:r>
      <w:r>
        <w:rPr>
          <w:rFonts w:ascii="仿宋_GB2312" w:cs="Times New Roman"/>
          <w:spacing w:val="-7"/>
          <w:lang w:eastAsia="zh-CN"/>
        </w:rPr>
        <w:t>用不同赛题。</w:t>
      </w:r>
    </w:p>
    <w:p>
      <w:pPr>
        <w:ind w:firstLine="560"/>
        <w:rPr>
          <w:rFonts w:ascii="仿宋_GB2312" w:cs="Times New Roman"/>
          <w:lang w:eastAsia="zh-CN"/>
        </w:rPr>
      </w:pPr>
      <w:r>
        <w:rPr>
          <w:rFonts w:ascii="仿宋_GB2312" w:cs="Times New Roman"/>
          <w:lang w:eastAsia="zh-CN"/>
        </w:rPr>
        <w:t>（6）实际操作竞赛，参赛选手在赛前60分钟（以竞赛日程为</w:t>
      </w:r>
      <w:r>
        <w:rPr>
          <w:rFonts w:ascii="仿宋_GB2312" w:cs="Times New Roman"/>
          <w:spacing w:val="-1"/>
          <w:lang w:eastAsia="zh-CN"/>
        </w:rPr>
        <w:t>准）</w:t>
      </w:r>
      <w:r>
        <w:rPr>
          <w:rFonts w:ascii="仿宋_GB2312" w:cs="Times New Roman"/>
          <w:lang w:eastAsia="zh-CN"/>
        </w:rPr>
        <w:t>，凭参赛证和身</w:t>
      </w:r>
      <w:r>
        <w:rPr>
          <w:rFonts w:ascii="仿宋_GB2312" w:cs="Times New Roman"/>
          <w:spacing w:val="-1"/>
          <w:lang w:eastAsia="zh-CN"/>
        </w:rPr>
        <w:t>份证进入赛场检录。检录工作由检录裁判负责，检录</w:t>
      </w:r>
      <w:r>
        <w:rPr>
          <w:rFonts w:ascii="仿宋_GB2312" w:cs="Times New Roman"/>
          <w:lang w:eastAsia="zh-CN"/>
        </w:rPr>
        <w:t>后进行工位抽签。</w:t>
      </w:r>
    </w:p>
    <w:p>
      <w:pPr>
        <w:ind w:firstLine="560"/>
        <w:rPr>
          <w:rFonts w:ascii="仿宋_GB2312" w:cs="Times New Roman"/>
          <w:lang w:eastAsia="zh-CN"/>
        </w:rPr>
      </w:pPr>
      <w:r>
        <w:rPr>
          <w:rFonts w:ascii="仿宋_GB2312" w:cs="Times New Roman"/>
          <w:lang w:eastAsia="zh-CN"/>
        </w:rPr>
        <w:t>（7）工位抽签工作由加密裁判负责，选手工位抽签后，选</w:t>
      </w:r>
      <w:r>
        <w:rPr>
          <w:rFonts w:ascii="仿宋_GB2312" w:cs="Times New Roman"/>
          <w:spacing w:val="-11"/>
          <w:lang w:eastAsia="zh-CN"/>
        </w:rPr>
        <w:t>手参</w:t>
      </w:r>
      <w:r>
        <w:rPr>
          <w:rFonts w:ascii="仿宋_GB2312" w:cs="Times New Roman"/>
          <w:spacing w:val="-1"/>
          <w:lang w:eastAsia="zh-CN"/>
        </w:rPr>
        <w:t>赛证更换成参赛工位号，</w:t>
      </w:r>
      <w:r>
        <w:rPr>
          <w:rFonts w:ascii="仿宋_GB2312" w:cs="Times New Roman"/>
          <w:lang w:eastAsia="zh-CN"/>
        </w:rPr>
        <w:t>选手在竞赛工位抽签</w:t>
      </w:r>
      <w:r>
        <w:rPr>
          <w:rFonts w:ascii="仿宋_GB2312" w:cs="Times New Roman"/>
          <w:spacing w:val="-1"/>
          <w:lang w:eastAsia="zh-CN"/>
        </w:rPr>
        <w:t>记录表上签字确认后，</w:t>
      </w:r>
      <w:r>
        <w:rPr>
          <w:rFonts w:ascii="仿宋_GB2312" w:cs="Times New Roman"/>
          <w:spacing w:val="5"/>
          <w:lang w:eastAsia="zh-CN"/>
        </w:rPr>
        <w:t>凭参赛工位号</w:t>
      </w:r>
      <w:r>
        <w:rPr>
          <w:rFonts w:ascii="仿宋_GB2312" w:cs="Times New Roman"/>
          <w:spacing w:val="4"/>
          <w:lang w:eastAsia="zh-CN"/>
        </w:rPr>
        <w:t>统一进入竞赛工位准备竞赛。竞赛场次和竞赛工位号</w:t>
      </w:r>
      <w:r>
        <w:rPr>
          <w:rFonts w:ascii="仿宋_GB2312" w:cs="Times New Roman"/>
          <w:spacing w:val="-1"/>
          <w:lang w:eastAsia="zh-CN"/>
        </w:rPr>
        <w:t>抽签</w:t>
      </w:r>
      <w:r>
        <w:rPr>
          <w:rFonts w:ascii="仿宋_GB2312" w:cs="Times New Roman"/>
          <w:lang w:eastAsia="zh-CN"/>
        </w:rPr>
        <w:t>确定后，选手不准调换。</w:t>
      </w:r>
    </w:p>
    <w:p>
      <w:pPr>
        <w:ind w:firstLine="556"/>
        <w:rPr>
          <w:rFonts w:ascii="仿宋_GB2312" w:cs="Times New Roman"/>
          <w:lang w:eastAsia="zh-CN"/>
        </w:rPr>
      </w:pPr>
      <w:r>
        <w:rPr>
          <w:rFonts w:ascii="仿宋_GB2312" w:cs="Times New Roman"/>
          <w:spacing w:val="-1"/>
          <w:lang w:eastAsia="zh-CN"/>
        </w:rPr>
        <w:t>（8）工位抽签后，由裁</w:t>
      </w:r>
      <w:r>
        <w:rPr>
          <w:rFonts w:ascii="仿宋_GB2312" w:cs="Times New Roman"/>
          <w:lang w:eastAsia="zh-CN"/>
        </w:rPr>
        <w:t>判长进行安全教育，确认现场条件，赛</w:t>
      </w:r>
      <w:r>
        <w:rPr>
          <w:rFonts w:ascii="仿宋_GB2312" w:cs="Times New Roman"/>
          <w:spacing w:val="-6"/>
          <w:lang w:eastAsia="zh-CN"/>
        </w:rPr>
        <w:t>前</w:t>
      </w:r>
      <w:r>
        <w:rPr>
          <w:rFonts w:ascii="仿宋_GB2312" w:cs="Times New Roman"/>
          <w:spacing w:val="-3"/>
          <w:lang w:eastAsia="zh-CN"/>
        </w:rPr>
        <w:t>10</w:t>
      </w:r>
      <w:r>
        <w:rPr>
          <w:rFonts w:ascii="仿宋_GB2312" w:cs="Times New Roman"/>
          <w:spacing w:val="-6"/>
          <w:lang w:eastAsia="zh-CN"/>
        </w:rPr>
        <w:t>分钟发放赛题，裁判长宣布竞赛开始后才可开始操作。</w:t>
      </w:r>
    </w:p>
    <w:p>
      <w:pPr>
        <w:ind w:firstLine="556"/>
        <w:rPr>
          <w:rFonts w:ascii="仿宋_GB2312" w:cs="Times New Roman"/>
          <w:lang w:eastAsia="zh-CN"/>
        </w:rPr>
      </w:pPr>
      <w:r>
        <w:rPr>
          <w:rFonts w:ascii="仿宋_GB2312" w:cs="Times New Roman"/>
          <w:spacing w:val="-1"/>
          <w:lang w:eastAsia="zh-CN"/>
        </w:rPr>
        <w:t>（9）竞赛过程中，选手</w:t>
      </w:r>
      <w:r>
        <w:rPr>
          <w:rFonts w:ascii="仿宋_GB2312" w:cs="Times New Roman"/>
          <w:lang w:eastAsia="zh-CN"/>
        </w:rPr>
        <w:t>若需休息、饮水或去洗手间，一律计算</w:t>
      </w:r>
      <w:r>
        <w:rPr>
          <w:rFonts w:ascii="仿宋_GB2312" w:cs="Times New Roman"/>
          <w:spacing w:val="-1"/>
          <w:lang w:eastAsia="zh-CN"/>
        </w:rPr>
        <w:t>在竞</w:t>
      </w:r>
      <w:r>
        <w:rPr>
          <w:rFonts w:ascii="仿宋_GB2312" w:cs="Times New Roman"/>
          <w:lang w:eastAsia="zh-CN"/>
        </w:rPr>
        <w:t>赛时间内。</w:t>
      </w:r>
    </w:p>
    <w:p>
      <w:pPr>
        <w:ind w:firstLine="572"/>
        <w:rPr>
          <w:rFonts w:ascii="仿宋_GB2312" w:cs="Times New Roman"/>
          <w:lang w:eastAsia="zh-CN"/>
        </w:rPr>
      </w:pPr>
      <w:r>
        <w:rPr>
          <w:rFonts w:ascii="仿宋_GB2312" w:cs="Times New Roman"/>
          <w:spacing w:val="3"/>
          <w:lang w:eastAsia="zh-CN"/>
        </w:rPr>
        <w:t>（10）竞赛过程中</w:t>
      </w:r>
      <w:r>
        <w:rPr>
          <w:rFonts w:ascii="仿宋_GB2312" w:cs="Times New Roman"/>
          <w:spacing w:val="4"/>
          <w:lang w:eastAsia="zh-CN"/>
        </w:rPr>
        <w:t>，参赛选手须严格遵守相关安全操作规程，</w:t>
      </w:r>
      <w:r>
        <w:rPr>
          <w:rFonts w:ascii="仿宋_GB2312" w:cs="Times New Roman"/>
          <w:spacing w:val="-1"/>
          <w:lang w:eastAsia="zh-CN"/>
        </w:rPr>
        <w:t>禁止不安全操作和野蛮操作</w:t>
      </w:r>
      <w:r>
        <w:rPr>
          <w:rFonts w:hint="eastAsia" w:ascii="仿宋_GB2312" w:cs="Times New Roman"/>
          <w:spacing w:val="-1"/>
          <w:lang w:eastAsia="zh-CN"/>
        </w:rPr>
        <w:t>，</w:t>
      </w:r>
      <w:r>
        <w:rPr>
          <w:rFonts w:ascii="仿宋_GB2312" w:cs="Times New Roman"/>
          <w:spacing w:val="-1"/>
          <w:lang w:eastAsia="zh-CN"/>
        </w:rPr>
        <w:t>确保人身及设备安全，</w:t>
      </w:r>
      <w:r>
        <w:rPr>
          <w:rFonts w:ascii="仿宋_GB2312" w:cs="Times New Roman"/>
          <w:spacing w:val="-3"/>
          <w:lang w:eastAsia="zh-CN"/>
        </w:rPr>
        <w:t>并</w:t>
      </w:r>
      <w:r>
        <w:rPr>
          <w:rFonts w:ascii="仿宋_GB2312" w:cs="Times New Roman"/>
          <w:lang w:eastAsia="zh-CN"/>
        </w:rPr>
        <w:t>接受裁判员的</w:t>
      </w:r>
      <w:r>
        <w:rPr>
          <w:rFonts w:ascii="仿宋_GB2312" w:cs="Times New Roman"/>
          <w:spacing w:val="4"/>
          <w:lang w:eastAsia="zh-CN"/>
        </w:rPr>
        <w:t>监督和警示，若因选手个人因素造成人身安全事故和</w:t>
      </w:r>
      <w:r>
        <w:rPr>
          <w:rFonts w:ascii="仿宋_GB2312" w:cs="Times New Roman"/>
          <w:spacing w:val="3"/>
          <w:lang w:eastAsia="zh-CN"/>
        </w:rPr>
        <w:t>设备故障，不</w:t>
      </w:r>
      <w:r>
        <w:rPr>
          <w:rFonts w:ascii="仿宋_GB2312" w:cs="Times New Roman"/>
          <w:spacing w:val="4"/>
          <w:lang w:eastAsia="zh-CN"/>
        </w:rPr>
        <w:t>予延时，情节特别严重者，由大赛裁判组视具体情况</w:t>
      </w:r>
      <w:r>
        <w:rPr>
          <w:rFonts w:hint="eastAsia" w:ascii="仿宋_GB2312" w:cs="Times New Roman"/>
          <w:spacing w:val="4"/>
          <w:lang w:eastAsia="zh-CN"/>
        </w:rPr>
        <w:t>作出</w:t>
      </w:r>
      <w:r>
        <w:rPr>
          <w:rFonts w:ascii="仿宋_GB2312" w:cs="Times New Roman"/>
          <w:spacing w:val="3"/>
          <w:lang w:eastAsia="zh-CN"/>
        </w:rPr>
        <w:t>处理决定（最高至终止竞赛）</w:t>
      </w:r>
      <w:r>
        <w:rPr>
          <w:rFonts w:ascii="仿宋_GB2312" w:cs="Times New Roman"/>
          <w:spacing w:val="5"/>
          <w:lang w:eastAsia="zh-CN"/>
        </w:rPr>
        <w:t>，并由</w:t>
      </w:r>
      <w:r>
        <w:rPr>
          <w:rFonts w:ascii="仿宋_GB2312" w:cs="Times New Roman"/>
          <w:spacing w:val="4"/>
          <w:lang w:eastAsia="zh-CN"/>
        </w:rPr>
        <w:t>裁判长上报大赛监督仲裁组；若因非选手个人因素造成设备故障，由大赛裁判组视具体情况</w:t>
      </w:r>
      <w:r>
        <w:rPr>
          <w:rFonts w:hint="eastAsia" w:ascii="仿宋_GB2312" w:cs="Times New Roman"/>
          <w:spacing w:val="4"/>
          <w:lang w:eastAsia="zh-CN"/>
        </w:rPr>
        <w:t>做出</w:t>
      </w:r>
      <w:r>
        <w:rPr>
          <w:rFonts w:ascii="仿宋_GB2312" w:cs="Times New Roman"/>
          <w:spacing w:val="3"/>
          <w:lang w:eastAsia="zh-CN"/>
        </w:rPr>
        <w:t>延时处理</w:t>
      </w:r>
      <w:r>
        <w:rPr>
          <w:rFonts w:ascii="仿宋_GB2312" w:cs="Times New Roman"/>
          <w:spacing w:val="-1"/>
          <w:lang w:eastAsia="zh-CN"/>
        </w:rPr>
        <w:t>并由</w:t>
      </w:r>
      <w:r>
        <w:rPr>
          <w:rFonts w:ascii="仿宋_GB2312" w:cs="Times New Roman"/>
          <w:lang w:eastAsia="zh-CN"/>
        </w:rPr>
        <w:t>裁判长上报大赛监督仲裁组。</w:t>
      </w:r>
    </w:p>
    <w:p>
      <w:pPr>
        <w:ind w:firstLine="576"/>
        <w:rPr>
          <w:rFonts w:ascii="仿宋_GB2312" w:cs="Times New Roman"/>
          <w:lang w:eastAsia="zh-CN"/>
        </w:rPr>
      </w:pPr>
      <w:r>
        <w:rPr>
          <w:rFonts w:ascii="仿宋_GB2312" w:cs="Times New Roman"/>
          <w:spacing w:val="4"/>
          <w:lang w:eastAsia="zh-CN"/>
        </w:rPr>
        <w:t>（11）如果选手提前结束竞赛，应报现场裁判员批准，竞赛终止时间由裁判员记录在案，选手提前结束竞赛后不得</w:t>
      </w:r>
      <w:r>
        <w:rPr>
          <w:rFonts w:ascii="仿宋_GB2312" w:cs="Times New Roman"/>
          <w:spacing w:val="3"/>
          <w:lang w:eastAsia="zh-CN"/>
        </w:rPr>
        <w:t>再进行任何竞</w:t>
      </w:r>
      <w:r>
        <w:rPr>
          <w:rFonts w:ascii="仿宋_GB2312" w:cs="Times New Roman"/>
          <w:spacing w:val="4"/>
          <w:lang w:eastAsia="zh-CN"/>
        </w:rPr>
        <w:t>赛相关工作。选手提前结束竞赛后，需原地等待，不</w:t>
      </w:r>
      <w:r>
        <w:rPr>
          <w:rFonts w:ascii="仿宋_GB2312" w:cs="Times New Roman"/>
          <w:spacing w:val="3"/>
          <w:lang w:eastAsia="zh-CN"/>
        </w:rPr>
        <w:t>得离开赛场，</w:t>
      </w:r>
      <w:r>
        <w:rPr>
          <w:rFonts w:ascii="仿宋_GB2312" w:cs="Times New Roman"/>
          <w:spacing w:val="-1"/>
          <w:lang w:eastAsia="zh-CN"/>
        </w:rPr>
        <w:t>直至</w:t>
      </w:r>
      <w:r>
        <w:rPr>
          <w:rFonts w:ascii="仿宋_GB2312" w:cs="Times New Roman"/>
          <w:lang w:eastAsia="zh-CN"/>
        </w:rPr>
        <w:t>本场竞赛结束。</w:t>
      </w:r>
    </w:p>
    <w:p>
      <w:pPr>
        <w:ind w:firstLine="532"/>
        <w:rPr>
          <w:rFonts w:ascii="仿宋_GB2312" w:cs="Times New Roman"/>
          <w:lang w:eastAsia="zh-CN"/>
        </w:rPr>
      </w:pPr>
      <w:r>
        <w:rPr>
          <w:rFonts w:ascii="仿宋_GB2312" w:cs="Times New Roman"/>
          <w:spacing w:val="-7"/>
          <w:lang w:eastAsia="zh-CN"/>
        </w:rPr>
        <w:t>（12）裁判长在竞赛结束前</w:t>
      </w:r>
      <w:r>
        <w:rPr>
          <w:rFonts w:ascii="仿宋_GB2312" w:cs="Times New Roman"/>
          <w:spacing w:val="-5"/>
          <w:lang w:eastAsia="zh-CN"/>
        </w:rPr>
        <w:t>15</w:t>
      </w:r>
      <w:r>
        <w:rPr>
          <w:rFonts w:ascii="仿宋_GB2312" w:cs="Times New Roman"/>
          <w:spacing w:val="-7"/>
          <w:lang w:eastAsia="zh-CN"/>
        </w:rPr>
        <w:t>分钟对选手</w:t>
      </w:r>
      <w:r>
        <w:rPr>
          <w:rFonts w:hint="eastAsia" w:ascii="仿宋_GB2312" w:cs="Times New Roman"/>
          <w:spacing w:val="-7"/>
          <w:lang w:eastAsia="zh-CN"/>
        </w:rPr>
        <w:t>作出</w:t>
      </w:r>
      <w:r>
        <w:rPr>
          <w:rFonts w:ascii="仿宋_GB2312" w:cs="Times New Roman"/>
          <w:spacing w:val="-7"/>
          <w:lang w:eastAsia="zh-CN"/>
        </w:rPr>
        <w:t>提示。裁判长宣</w:t>
      </w:r>
      <w:r>
        <w:rPr>
          <w:rFonts w:ascii="仿宋_GB2312" w:cs="Times New Roman"/>
          <w:spacing w:val="-1"/>
          <w:lang w:eastAsia="zh-CN"/>
        </w:rPr>
        <w:t>布竞</w:t>
      </w:r>
      <w:r>
        <w:rPr>
          <w:rFonts w:ascii="仿宋_GB2312" w:cs="Times New Roman"/>
          <w:lang w:eastAsia="zh-CN"/>
        </w:rPr>
        <w:t>赛结束后，选手应立即停止操作。</w:t>
      </w:r>
    </w:p>
    <w:p>
      <w:pPr>
        <w:ind w:firstLine="556"/>
        <w:rPr>
          <w:rFonts w:ascii="仿宋_GB2312" w:cs="Times New Roman"/>
          <w:lang w:eastAsia="zh-CN"/>
        </w:rPr>
      </w:pPr>
      <w:r>
        <w:rPr>
          <w:rFonts w:ascii="仿宋_GB2312" w:cs="Times New Roman"/>
          <w:spacing w:val="-1"/>
          <w:lang w:eastAsia="zh-CN"/>
        </w:rPr>
        <w:t>（13）竞赛结束后，由现</w:t>
      </w:r>
      <w:r>
        <w:rPr>
          <w:rFonts w:ascii="仿宋_GB2312" w:cs="Times New Roman"/>
          <w:lang w:eastAsia="zh-CN"/>
        </w:rPr>
        <w:t>场裁判员和选手检查确认提交的内容，选手、</w:t>
      </w:r>
      <w:r>
        <w:rPr>
          <w:rFonts w:ascii="仿宋_GB2312" w:cs="Times New Roman"/>
          <w:spacing w:val="-1"/>
          <w:lang w:eastAsia="zh-CN"/>
        </w:rPr>
        <w:t>现场</w:t>
      </w:r>
      <w:r>
        <w:rPr>
          <w:rFonts w:ascii="仿宋_GB2312" w:cs="Times New Roman"/>
          <w:lang w:eastAsia="zh-CN"/>
        </w:rPr>
        <w:t>裁判员签字确认。</w:t>
      </w:r>
    </w:p>
    <w:p>
      <w:pPr>
        <w:ind w:firstLine="572"/>
        <w:rPr>
          <w:rFonts w:ascii="仿宋_GB2312" w:cs="Times New Roman"/>
          <w:lang w:eastAsia="zh-CN"/>
        </w:rPr>
      </w:pPr>
      <w:r>
        <w:rPr>
          <w:rFonts w:ascii="仿宋_GB2312" w:cs="Times New Roman"/>
          <w:spacing w:val="3"/>
          <w:lang w:eastAsia="zh-CN"/>
        </w:rPr>
        <w:t>（14）竞赛结束，</w:t>
      </w:r>
      <w:r>
        <w:rPr>
          <w:rFonts w:ascii="仿宋_GB2312" w:cs="Times New Roman"/>
          <w:spacing w:val="4"/>
          <w:lang w:eastAsia="zh-CN"/>
        </w:rPr>
        <w:t>选手应立即清理现场，包括设备及周边卫生并恢复设备原始状态等。经现场裁判员和现场工作人</w:t>
      </w:r>
      <w:r>
        <w:rPr>
          <w:rFonts w:ascii="仿宋_GB2312" w:cs="Times New Roman"/>
          <w:spacing w:val="3"/>
          <w:lang w:eastAsia="zh-CN"/>
        </w:rPr>
        <w:t>员确认后方可</w:t>
      </w:r>
      <w:r>
        <w:rPr>
          <w:rFonts w:ascii="仿宋_GB2312" w:cs="Times New Roman"/>
          <w:spacing w:val="4"/>
          <w:lang w:eastAsia="zh-CN"/>
        </w:rPr>
        <w:t>离开工位。经裁判长统一确认后，选手统一离开赛场</w:t>
      </w:r>
      <w:r>
        <w:rPr>
          <w:rFonts w:ascii="仿宋_GB2312" w:cs="Times New Roman"/>
          <w:spacing w:val="3"/>
          <w:lang w:eastAsia="zh-CN"/>
        </w:rPr>
        <w:t>。清理现场工</w:t>
      </w:r>
      <w:r>
        <w:rPr>
          <w:rFonts w:ascii="仿宋_GB2312" w:cs="Times New Roman"/>
          <w:spacing w:val="-1"/>
          <w:lang w:eastAsia="zh-CN"/>
        </w:rPr>
        <w:t>作是</w:t>
      </w:r>
      <w:r>
        <w:rPr>
          <w:rFonts w:ascii="仿宋_GB2312" w:cs="Times New Roman"/>
          <w:lang w:eastAsia="zh-CN"/>
        </w:rPr>
        <w:t>对选手职业素养评判的内容之一。</w:t>
      </w:r>
    </w:p>
    <w:p>
      <w:pPr>
        <w:ind w:firstLine="572"/>
        <w:rPr>
          <w:rFonts w:ascii="仿宋_GB2312" w:cs="Times New Roman"/>
          <w:lang w:eastAsia="zh-CN"/>
        </w:rPr>
      </w:pPr>
      <w:r>
        <w:rPr>
          <w:rFonts w:ascii="仿宋_GB2312" w:cs="Times New Roman"/>
          <w:spacing w:val="3"/>
          <w:lang w:eastAsia="zh-CN"/>
        </w:rPr>
        <w:t>（15）为保证大赛</w:t>
      </w:r>
      <w:r>
        <w:rPr>
          <w:rFonts w:ascii="仿宋_GB2312" w:cs="Times New Roman"/>
          <w:spacing w:val="4"/>
          <w:lang w:eastAsia="zh-CN"/>
        </w:rPr>
        <w:t>的公平、公正，加密裁判将对选手上交的文</w:t>
      </w:r>
      <w:r>
        <w:rPr>
          <w:rFonts w:ascii="仿宋_GB2312" w:cs="Times New Roman"/>
          <w:spacing w:val="-1"/>
          <w:lang w:eastAsia="zh-CN"/>
        </w:rPr>
        <w:t>档进</w:t>
      </w:r>
      <w:r>
        <w:rPr>
          <w:rFonts w:ascii="仿宋_GB2312" w:cs="Times New Roman"/>
          <w:lang w:eastAsia="zh-CN"/>
        </w:rPr>
        <w:t>行加密，然后交给评分裁判进行评分。</w:t>
      </w:r>
    </w:p>
    <w:p>
      <w:pPr>
        <w:ind w:firstLine="572"/>
        <w:rPr>
          <w:rFonts w:ascii="仿宋_GB2312" w:cs="Times New Roman"/>
          <w:lang w:eastAsia="zh-CN"/>
        </w:rPr>
      </w:pPr>
      <w:r>
        <w:rPr>
          <w:rFonts w:ascii="仿宋_GB2312" w:cs="Times New Roman"/>
          <w:spacing w:val="3"/>
          <w:lang w:eastAsia="zh-CN"/>
        </w:rPr>
        <w:t>（16）参赛选手在</w:t>
      </w:r>
      <w:r>
        <w:rPr>
          <w:rFonts w:ascii="仿宋_GB2312" w:cs="Times New Roman"/>
          <w:spacing w:val="4"/>
          <w:lang w:eastAsia="zh-CN"/>
        </w:rPr>
        <w:t>竞赛过程中，必须戴安全帽（女选手长发不</w:t>
      </w:r>
      <w:r>
        <w:rPr>
          <w:rFonts w:ascii="仿宋_GB2312" w:cs="Times New Roman"/>
          <w:lang w:eastAsia="zh-CN"/>
        </w:rPr>
        <w:t>得外露）</w:t>
      </w:r>
      <w:r>
        <w:rPr>
          <w:rFonts w:ascii="仿宋_GB2312" w:cs="Times New Roman"/>
          <w:spacing w:val="-1"/>
          <w:lang w:eastAsia="zh-CN"/>
        </w:rPr>
        <w:t>，穿</w:t>
      </w:r>
      <w:r>
        <w:rPr>
          <w:rFonts w:ascii="仿宋_GB2312" w:cs="Times New Roman"/>
          <w:lang w:eastAsia="zh-CN"/>
        </w:rPr>
        <w:t>工作服、防砸防刺穿劳保工作鞋。</w:t>
      </w:r>
    </w:p>
    <w:p>
      <w:pPr>
        <w:ind w:firstLine="572"/>
        <w:rPr>
          <w:rFonts w:ascii="仿宋_GB2312" w:cs="Times New Roman"/>
          <w:lang w:eastAsia="zh-CN"/>
        </w:rPr>
      </w:pPr>
      <w:r>
        <w:rPr>
          <w:rFonts w:ascii="仿宋_GB2312" w:cs="Times New Roman"/>
          <w:spacing w:val="3"/>
          <w:lang w:eastAsia="zh-CN"/>
        </w:rPr>
        <w:t>（17）参赛选手在</w:t>
      </w:r>
      <w:r>
        <w:rPr>
          <w:rFonts w:ascii="仿宋_GB2312" w:cs="Times New Roman"/>
          <w:spacing w:val="4"/>
          <w:lang w:eastAsia="zh-CN"/>
        </w:rPr>
        <w:t>竞赛过程中，要求操作安全规范，工具、刀</w:t>
      </w:r>
      <w:r>
        <w:rPr>
          <w:rFonts w:ascii="仿宋_GB2312" w:cs="Times New Roman"/>
          <w:spacing w:val="3"/>
          <w:lang w:eastAsia="zh-CN"/>
        </w:rPr>
        <w:t>具、</w:t>
      </w:r>
      <w:r>
        <w:rPr>
          <w:rFonts w:ascii="仿宋_GB2312" w:cs="Times New Roman"/>
          <w:spacing w:val="4"/>
          <w:lang w:eastAsia="zh-CN"/>
        </w:rPr>
        <w:t>量具等摆放整齐。竞赛过程中裁判组将安排裁判员对</w:t>
      </w:r>
      <w:r>
        <w:rPr>
          <w:rFonts w:ascii="仿宋_GB2312" w:cs="Times New Roman"/>
          <w:spacing w:val="3"/>
          <w:lang w:eastAsia="zh-CN"/>
        </w:rPr>
        <w:t>选</w:t>
      </w:r>
      <w:r>
        <w:rPr>
          <w:rFonts w:ascii="仿宋_GB2312" w:cs="Times New Roman"/>
          <w:spacing w:val="-1"/>
          <w:lang w:eastAsia="zh-CN"/>
        </w:rPr>
        <w:t>手进</w:t>
      </w:r>
      <w:r>
        <w:rPr>
          <w:rFonts w:ascii="仿宋_GB2312" w:cs="Times New Roman"/>
          <w:lang w:eastAsia="zh-CN"/>
        </w:rPr>
        <w:t>行职业素养的现场评分。</w:t>
      </w:r>
    </w:p>
    <w:p>
      <w:pPr>
        <w:ind w:firstLine="572"/>
        <w:rPr>
          <w:rFonts w:ascii="仿宋_GB2312" w:cs="Times New Roman"/>
          <w:lang w:eastAsia="zh-CN"/>
        </w:rPr>
      </w:pPr>
      <w:r>
        <w:rPr>
          <w:rFonts w:ascii="仿宋_GB2312" w:cs="Times New Roman"/>
          <w:spacing w:val="3"/>
          <w:lang w:eastAsia="zh-CN"/>
        </w:rPr>
        <w:t>（18）选手离开竞</w:t>
      </w:r>
      <w:r>
        <w:rPr>
          <w:rFonts w:ascii="仿宋_GB2312" w:cs="Times New Roman"/>
          <w:spacing w:val="4"/>
          <w:lang w:eastAsia="zh-CN"/>
        </w:rPr>
        <w:t>赛场地时，不得将草稿纸等与竞赛相关的物</w:t>
      </w:r>
      <w:r>
        <w:rPr>
          <w:rFonts w:ascii="仿宋_GB2312" w:cs="Times New Roman"/>
          <w:spacing w:val="-1"/>
          <w:lang w:eastAsia="zh-CN"/>
        </w:rPr>
        <w:t>品带</w:t>
      </w:r>
      <w:r>
        <w:rPr>
          <w:rFonts w:ascii="仿宋_GB2312" w:cs="Times New Roman"/>
          <w:lang w:eastAsia="zh-CN"/>
        </w:rPr>
        <w:t>离竞赛现场，同时也不得将赛场提供的其他物品带离赛场。</w:t>
      </w:r>
    </w:p>
    <w:p>
      <w:pPr>
        <w:ind w:firstLine="572"/>
        <w:rPr>
          <w:rFonts w:ascii="仿宋_GB2312" w:cs="Times New Roman"/>
          <w:lang w:eastAsia="zh-CN"/>
        </w:rPr>
      </w:pPr>
      <w:r>
        <w:rPr>
          <w:rFonts w:ascii="仿宋_GB2312" w:cs="Times New Roman"/>
          <w:spacing w:val="3"/>
          <w:lang w:eastAsia="zh-CN"/>
        </w:rPr>
        <w:t>（19）各类赛务人</w:t>
      </w:r>
      <w:r>
        <w:rPr>
          <w:rFonts w:ascii="仿宋_GB2312" w:cs="Times New Roman"/>
          <w:spacing w:val="4"/>
          <w:lang w:eastAsia="zh-CN"/>
        </w:rPr>
        <w:t>员必须统一佩戴由大赛组委会签发的相关证</w:t>
      </w:r>
      <w:r>
        <w:rPr>
          <w:rFonts w:ascii="仿宋_GB2312" w:cs="Times New Roman"/>
          <w:spacing w:val="-1"/>
          <w:lang w:eastAsia="zh-CN"/>
        </w:rPr>
        <w:t>件，</w:t>
      </w:r>
      <w:r>
        <w:rPr>
          <w:rFonts w:ascii="仿宋_GB2312" w:cs="Times New Roman"/>
          <w:lang w:eastAsia="zh-CN"/>
        </w:rPr>
        <w:t>着装整齐。</w:t>
      </w:r>
    </w:p>
    <w:p>
      <w:pPr>
        <w:ind w:firstLine="576"/>
        <w:rPr>
          <w:rFonts w:ascii="仿宋_GB2312" w:cs="Times New Roman"/>
          <w:lang w:eastAsia="zh-CN"/>
        </w:rPr>
      </w:pPr>
      <w:r>
        <w:rPr>
          <w:rFonts w:ascii="仿宋_GB2312" w:cs="Times New Roman"/>
          <w:spacing w:val="4"/>
          <w:lang w:eastAsia="zh-CN"/>
        </w:rPr>
        <w:t>（20）除现场裁判员和参赛选手外，其他人员不得进入比赛区</w:t>
      </w:r>
      <w:r>
        <w:rPr>
          <w:rFonts w:ascii="仿宋_GB2312" w:cs="Times New Roman"/>
          <w:spacing w:val="3"/>
          <w:lang w:eastAsia="zh-CN"/>
        </w:rPr>
        <w:t>域。赛场安全员、</w:t>
      </w:r>
      <w:r>
        <w:rPr>
          <w:rFonts w:ascii="仿宋_GB2312" w:cs="Times New Roman"/>
          <w:spacing w:val="5"/>
          <w:lang w:eastAsia="zh-CN"/>
        </w:rPr>
        <w:t>设备</w:t>
      </w:r>
      <w:r>
        <w:rPr>
          <w:rFonts w:ascii="仿宋_GB2312" w:cs="Times New Roman"/>
          <w:spacing w:val="4"/>
          <w:lang w:eastAsia="zh-CN"/>
        </w:rPr>
        <w:t>和软件技术支持人员、工作人员必须在指定</w:t>
      </w:r>
      <w:r>
        <w:rPr>
          <w:rFonts w:ascii="仿宋_GB2312" w:cs="Times New Roman"/>
          <w:spacing w:val="-1"/>
          <w:lang w:eastAsia="zh-CN"/>
        </w:rPr>
        <w:t>区域</w:t>
      </w:r>
      <w:r>
        <w:rPr>
          <w:rFonts w:ascii="仿宋_GB2312" w:cs="Times New Roman"/>
          <w:lang w:eastAsia="zh-CN"/>
        </w:rPr>
        <w:t>等待，未经裁判长允许不得进入比赛区域。</w:t>
      </w:r>
    </w:p>
    <w:p>
      <w:pPr>
        <w:pStyle w:val="3"/>
        <w:rPr>
          <w:lang w:eastAsia="zh-CN"/>
        </w:rPr>
      </w:pPr>
      <w:bookmarkStart w:id="306" w:name="_Toc26983"/>
      <w:bookmarkStart w:id="307" w:name="_Toc142493528"/>
      <w:bookmarkStart w:id="308" w:name="_Toc9485"/>
      <w:r>
        <w:rPr>
          <w:lang w:eastAsia="zh-CN"/>
        </w:rPr>
        <w:t>11赛场纪律</w:t>
      </w:r>
      <w:bookmarkEnd w:id="302"/>
      <w:bookmarkEnd w:id="303"/>
      <w:bookmarkEnd w:id="304"/>
      <w:bookmarkEnd w:id="305"/>
      <w:bookmarkEnd w:id="306"/>
      <w:bookmarkEnd w:id="307"/>
      <w:bookmarkEnd w:id="308"/>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选手在竞赛期间不得携带、使用手机、照相机、录像机等通信设备，不得携带非大赛提供的电子存储设备、资料。</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（2）</w:t>
      </w:r>
      <w:r>
        <w:rPr>
          <w:rFonts w:ascii="仿宋_GB2312" w:hAnsi="仿宋_GB2312" w:cs="仿宋_GB2312"/>
          <w:kern w:val="2"/>
          <w:szCs w:val="30"/>
          <w:lang w:eastAsia="zh-CN"/>
        </w:rPr>
        <w:t>比赛期间，选手有问题应及时向裁判员反映；选手正常比赛时，裁判员不得主动接近或干涉选手；若选手需要技术支持，裁判员应及时通知相关人员前来解决；若需</w:t>
      </w:r>
      <w:r>
        <w:rPr>
          <w:rFonts w:hint="eastAsia" w:ascii="仿宋_GB2312" w:hAnsi="仿宋_GB2312" w:cs="仿宋_GB2312"/>
          <w:kern w:val="2"/>
          <w:szCs w:val="30"/>
          <w:lang w:eastAsia="zh-CN"/>
        </w:rPr>
        <w:t>作出判决</w:t>
      </w:r>
      <w:r>
        <w:rPr>
          <w:rFonts w:ascii="仿宋_GB2312" w:hAnsi="仿宋_GB2312" w:cs="仿宋_GB2312"/>
          <w:kern w:val="2"/>
          <w:szCs w:val="30"/>
          <w:lang w:eastAsia="zh-CN"/>
        </w:rPr>
        <w:t>，则应报告裁判长，由裁判长决定。</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（3）</w:t>
      </w:r>
      <w:r>
        <w:rPr>
          <w:rFonts w:ascii="仿宋_GB2312" w:hAnsi="仿宋_GB2312" w:cs="仿宋_GB2312"/>
          <w:kern w:val="2"/>
          <w:szCs w:val="30"/>
          <w:lang w:eastAsia="zh-CN"/>
        </w:rPr>
        <w:t>竞赛结束铃声响起以后，选手应立即停止操作。选手应及时把赛题、图纸、电子存储设备、草稿纸等所有相关文件提交给现场裁判，并确认。由加密裁判做好加密和保存工作；最终统一提交给裁判长。</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（4）</w:t>
      </w:r>
      <w:r>
        <w:rPr>
          <w:rFonts w:ascii="仿宋_GB2312" w:hAnsi="仿宋_GB2312" w:cs="仿宋_GB2312"/>
          <w:kern w:val="2"/>
          <w:szCs w:val="30"/>
          <w:lang w:eastAsia="zh-CN"/>
        </w:rPr>
        <w:t>未经裁判长允许，不得延长竞赛时间。</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（5）</w:t>
      </w:r>
      <w:r>
        <w:rPr>
          <w:rFonts w:ascii="仿宋_GB2312" w:hAnsi="仿宋_GB2312" w:cs="仿宋_GB2312"/>
          <w:kern w:val="2"/>
          <w:szCs w:val="30"/>
          <w:lang w:eastAsia="zh-CN"/>
        </w:rPr>
        <w:t>未经裁判长允许，竞赛结束后，选手不能离开赛场。</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（6）</w:t>
      </w:r>
      <w:r>
        <w:rPr>
          <w:rFonts w:ascii="仿宋_GB2312" w:hAnsi="仿宋_GB2312" w:cs="仿宋_GB2312"/>
          <w:kern w:val="2"/>
          <w:szCs w:val="30"/>
          <w:lang w:eastAsia="zh-CN"/>
        </w:rPr>
        <w:t>参赛选手不得有损坏竞赛设备和影响下一场竞赛的行为。</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（7）</w:t>
      </w:r>
      <w:r>
        <w:rPr>
          <w:rFonts w:ascii="仿宋_GB2312" w:hAnsi="仿宋_GB2312" w:cs="仿宋_GB2312"/>
          <w:kern w:val="2"/>
          <w:szCs w:val="30"/>
          <w:lang w:eastAsia="zh-CN"/>
        </w:rPr>
        <w:t>参赛选手如果违反前述相关规定和组委会印发的竞赛技术规则，视违规程度，受到“总分扣除10</w:t>
      </w:r>
      <w:r>
        <w:rPr>
          <w:rFonts w:ascii="Abadi" w:hAnsi="Abadi" w:cs="仿宋_GB2312"/>
          <w:kern w:val="2"/>
          <w:szCs w:val="30"/>
          <w:lang w:eastAsia="zh-CN"/>
        </w:rPr>
        <w:t>~</w:t>
      </w:r>
      <w:r>
        <w:rPr>
          <w:rFonts w:ascii="仿宋_GB2312" w:hAnsi="仿宋_GB2312" w:cs="仿宋_GB2312"/>
          <w:kern w:val="2"/>
          <w:szCs w:val="30"/>
          <w:lang w:eastAsia="zh-CN"/>
        </w:rPr>
        <w:t>20分、不得进入前20名、取消竞赛资格”等不同处罚。</w:t>
      </w:r>
    </w:p>
    <w:p>
      <w:pPr>
        <w:pStyle w:val="2"/>
        <w:rPr>
          <w:lang w:eastAsia="zh-CN"/>
        </w:rPr>
      </w:pPr>
      <w:bookmarkStart w:id="309" w:name="_Toc107988008"/>
      <w:bookmarkStart w:id="310" w:name="_Toc108109278"/>
      <w:bookmarkStart w:id="311" w:name="_Toc3764"/>
      <w:bookmarkStart w:id="312" w:name="_Toc142493529"/>
      <w:bookmarkStart w:id="313" w:name="_Toc22072"/>
      <w:r>
        <w:rPr>
          <w:rFonts w:hint="eastAsia"/>
          <w:lang w:eastAsia="zh-CN"/>
        </w:rPr>
        <w:t>四、竞赛相关要求</w:t>
      </w:r>
      <w:bookmarkEnd w:id="309"/>
      <w:bookmarkEnd w:id="310"/>
      <w:bookmarkEnd w:id="311"/>
      <w:bookmarkEnd w:id="312"/>
      <w:bookmarkEnd w:id="313"/>
    </w:p>
    <w:p>
      <w:pPr>
        <w:pStyle w:val="3"/>
        <w:rPr>
          <w:lang w:eastAsia="zh-CN"/>
        </w:rPr>
      </w:pPr>
      <w:bookmarkStart w:id="314" w:name="_TOC_300043"/>
      <w:bookmarkStart w:id="315" w:name="_Toc106539838"/>
      <w:bookmarkStart w:id="316" w:name="_Toc142493530"/>
      <w:bookmarkStart w:id="317" w:name="_Toc107129663"/>
      <w:bookmarkStart w:id="318" w:name="_Toc108109279"/>
      <w:bookmarkStart w:id="319" w:name="_Toc16099"/>
      <w:bookmarkStart w:id="320" w:name="_Toc26755"/>
      <w:bookmarkStart w:id="321" w:name="_Toc107129659"/>
      <w:bookmarkStart w:id="322" w:name="_TOC_300039"/>
      <w:bookmarkStart w:id="323" w:name="_Toc106539834"/>
      <w:r>
        <w:rPr>
          <w:lang w:eastAsia="zh-CN"/>
        </w:rPr>
        <w:t>12竞赛安</w:t>
      </w:r>
      <w:bookmarkEnd w:id="314"/>
      <w:r>
        <w:rPr>
          <w:lang w:eastAsia="zh-CN"/>
        </w:rPr>
        <w:t>全要求</w:t>
      </w:r>
      <w:bookmarkEnd w:id="315"/>
      <w:bookmarkEnd w:id="316"/>
      <w:bookmarkEnd w:id="317"/>
      <w:bookmarkEnd w:id="318"/>
      <w:bookmarkEnd w:id="319"/>
      <w:bookmarkEnd w:id="320"/>
    </w:p>
    <w:p>
      <w:pPr>
        <w:pStyle w:val="4"/>
        <w:rPr>
          <w:lang w:eastAsia="zh-CN"/>
        </w:rPr>
      </w:pPr>
      <w:bookmarkStart w:id="324" w:name="_Toc106539839"/>
      <w:bookmarkStart w:id="325" w:name="_Toc108109280"/>
      <w:bookmarkStart w:id="326" w:name="_Toc17794"/>
      <w:bookmarkStart w:id="327" w:name="_Toc142493531"/>
      <w:bookmarkStart w:id="328" w:name="_TOC_300044"/>
      <w:bookmarkStart w:id="329" w:name="_Toc14700"/>
      <w:bookmarkStart w:id="330" w:name="_Toc107129664"/>
      <w:r>
        <w:rPr>
          <w:lang w:eastAsia="zh-CN"/>
        </w:rPr>
        <w:t>12.1选手安全防护措施要求</w:t>
      </w:r>
      <w:bookmarkEnd w:id="324"/>
      <w:bookmarkEnd w:id="325"/>
      <w:bookmarkEnd w:id="326"/>
      <w:bookmarkEnd w:id="327"/>
      <w:bookmarkEnd w:id="328"/>
      <w:bookmarkEnd w:id="329"/>
      <w:bookmarkEnd w:id="330"/>
    </w:p>
    <w:p>
      <w:pPr>
        <w:ind w:firstLine="560"/>
        <w:rPr>
          <w:rFonts w:ascii="仿宋_GB2312" w:hAnsi="仿宋_GB2312" w:cs="仿宋_GB2312"/>
          <w:szCs w:val="30"/>
          <w:lang w:eastAsia="zh-CN"/>
        </w:rPr>
      </w:pPr>
      <w:r>
        <w:rPr>
          <w:rFonts w:hint="eastAsia" w:ascii="仿宋_GB2312" w:hAnsi="仿宋_GB2312" w:cs="仿宋_GB2312"/>
          <w:szCs w:val="30"/>
          <w:lang w:eastAsia="zh-CN"/>
        </w:rPr>
        <w:t>选手安全防护装备应符合表</w:t>
      </w:r>
      <w:r>
        <w:rPr>
          <w:rFonts w:ascii="仿宋_GB2312" w:hAnsi="仿宋_GB2312" w:cs="仿宋_GB2312"/>
          <w:szCs w:val="30"/>
          <w:lang w:eastAsia="zh-CN"/>
        </w:rPr>
        <w:t>4</w:t>
      </w:r>
      <w:r>
        <w:rPr>
          <w:rFonts w:hint="eastAsia" w:ascii="仿宋_GB2312" w:hAnsi="仿宋_GB2312" w:cs="仿宋_GB2312"/>
          <w:szCs w:val="30"/>
          <w:lang w:eastAsia="zh-CN"/>
        </w:rPr>
        <w:t>要求。</w:t>
      </w:r>
    </w:p>
    <w:p>
      <w:pPr>
        <w:pStyle w:val="5"/>
        <w:rPr>
          <w:rFonts w:ascii="仿宋_GB2312" w:hAnsi="仿宋_GB2312" w:cs="仿宋_GB2312"/>
          <w:b/>
          <w:kern w:val="2"/>
          <w:sz w:val="24"/>
          <w:szCs w:val="24"/>
          <w:lang w:eastAsia="zh-CN"/>
        </w:rPr>
      </w:pPr>
      <w:r>
        <w:rPr>
          <w:rFonts w:ascii="仿宋_GB2312" w:hAnsi="仿宋_GB2312" w:cs="仿宋_GB2312"/>
          <w:b/>
          <w:kern w:val="2"/>
          <w:sz w:val="24"/>
          <w:szCs w:val="24"/>
          <w:lang w:eastAsia="zh-CN"/>
        </w:rPr>
        <w:t>表4</w:t>
      </w:r>
      <w:r>
        <w:rPr>
          <w:rFonts w:hint="eastAsia" w:ascii="仿宋_GB2312" w:hAnsi="仿宋_GB2312" w:cs="仿宋_GB2312"/>
          <w:b/>
          <w:kern w:val="2"/>
          <w:sz w:val="24"/>
          <w:szCs w:val="24"/>
          <w:lang w:eastAsia="zh-CN"/>
        </w:rPr>
        <w:t>选手安全防护装备</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2623"/>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83" w:type="pct"/>
            <w:vAlign w:val="center"/>
          </w:tcPr>
          <w:p>
            <w:pPr>
              <w:pStyle w:val="21"/>
              <w:rPr>
                <w:rFonts w:ascii="仿宋" w:hAnsi="仿宋" w:eastAsia="仿宋"/>
                <w:b/>
                <w:bCs w:val="0"/>
                <w:szCs w:val="30"/>
              </w:rPr>
            </w:pPr>
            <w:r>
              <w:rPr>
                <w:rFonts w:ascii="仿宋" w:hAnsi="仿宋" w:eastAsia="仿宋"/>
                <w:b/>
                <w:bCs w:val="0"/>
                <w:szCs w:val="30"/>
              </w:rPr>
              <w:t>防护项目</w:t>
            </w:r>
          </w:p>
        </w:tc>
        <w:tc>
          <w:tcPr>
            <w:tcW w:w="1412" w:type="pct"/>
            <w:vAlign w:val="center"/>
          </w:tcPr>
          <w:p>
            <w:pPr>
              <w:pStyle w:val="21"/>
              <w:rPr>
                <w:rFonts w:ascii="仿宋" w:hAnsi="仿宋" w:eastAsia="仿宋"/>
                <w:b/>
                <w:bCs w:val="0"/>
                <w:szCs w:val="30"/>
              </w:rPr>
            </w:pPr>
            <w:r>
              <w:rPr>
                <w:rFonts w:ascii="仿宋" w:hAnsi="仿宋" w:eastAsia="仿宋"/>
                <w:b/>
                <w:bCs w:val="0"/>
                <w:szCs w:val="30"/>
              </w:rPr>
              <w:t>图示</w:t>
            </w:r>
          </w:p>
        </w:tc>
        <w:tc>
          <w:tcPr>
            <w:tcW w:w="2603" w:type="pct"/>
            <w:vAlign w:val="center"/>
          </w:tcPr>
          <w:p>
            <w:pPr>
              <w:pStyle w:val="21"/>
              <w:rPr>
                <w:rFonts w:ascii="仿宋" w:hAnsi="仿宋" w:eastAsia="仿宋"/>
                <w:b/>
                <w:bCs w:val="0"/>
                <w:szCs w:val="30"/>
              </w:rPr>
            </w:pPr>
            <w:r>
              <w:rPr>
                <w:rFonts w:ascii="仿宋" w:hAnsi="仿宋" w:eastAsia="仿宋"/>
                <w:b/>
                <w:bCs w:val="0"/>
                <w:szCs w:val="3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83" w:type="pct"/>
            <w:vAlign w:val="center"/>
          </w:tcPr>
          <w:p>
            <w:pPr>
              <w:pStyle w:val="21"/>
              <w:rPr>
                <w:rFonts w:ascii="仿宋" w:hAnsi="仿宋" w:eastAsia="仿宋"/>
                <w:szCs w:val="22"/>
              </w:rPr>
            </w:pPr>
            <w:r>
              <w:rPr>
                <w:rFonts w:hint="eastAsia" w:ascii="仿宋" w:hAnsi="仿宋" w:eastAsia="仿宋"/>
                <w:szCs w:val="22"/>
              </w:rPr>
              <w:t>绝缘鞋</w:t>
            </w:r>
          </w:p>
        </w:tc>
        <w:tc>
          <w:tcPr>
            <w:tcW w:w="1412" w:type="pct"/>
            <w:vAlign w:val="center"/>
          </w:tcPr>
          <w:p>
            <w:pPr>
              <w:pStyle w:val="21"/>
              <w:rPr>
                <w:rFonts w:ascii="仿宋" w:hAnsi="仿宋" w:eastAsia="仿宋"/>
                <w:szCs w:val="22"/>
              </w:rPr>
            </w:pPr>
            <w:r>
              <w:rPr>
                <w:rFonts w:ascii="仿宋" w:hAnsi="仿宋" w:eastAsia="仿宋"/>
                <w:szCs w:val="22"/>
              </w:rPr>
              <w:drawing>
                <wp:anchor distT="0" distB="0" distL="114300" distR="114300" simplePos="0" relativeHeight="251667456" behindDoc="0" locked="0" layoutInCell="1" allowOverlap="1">
                  <wp:simplePos x="0" y="0"/>
                  <wp:positionH relativeFrom="column">
                    <wp:posOffset>575945</wp:posOffset>
                  </wp:positionH>
                  <wp:positionV relativeFrom="paragraph">
                    <wp:posOffset>80645</wp:posOffset>
                  </wp:positionV>
                  <wp:extent cx="603250" cy="372110"/>
                  <wp:effectExtent l="0" t="0" r="6350" b="8890"/>
                  <wp:wrapSquare wrapText="bothSides"/>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03250" cy="372110"/>
                          </a:xfrm>
                          <a:prstGeom prst="rect">
                            <a:avLst/>
                          </a:prstGeom>
                          <a:noFill/>
                          <a:ln>
                            <a:noFill/>
                          </a:ln>
                        </pic:spPr>
                      </pic:pic>
                    </a:graphicData>
                  </a:graphic>
                </wp:anchor>
              </w:drawing>
            </w:r>
          </w:p>
        </w:tc>
        <w:tc>
          <w:tcPr>
            <w:tcW w:w="2603" w:type="pct"/>
            <w:vAlign w:val="center"/>
          </w:tcPr>
          <w:p>
            <w:pPr>
              <w:pStyle w:val="21"/>
              <w:jc w:val="left"/>
              <w:rPr>
                <w:rFonts w:ascii="仿宋" w:hAnsi="仿宋" w:eastAsia="仿宋" w:cs="仿宋_GB2312"/>
                <w:szCs w:val="22"/>
              </w:rPr>
            </w:pPr>
            <w:r>
              <w:rPr>
                <w:rFonts w:hint="eastAsia" w:ascii="仿宋" w:hAnsi="仿宋" w:eastAsia="仿宋" w:cs="仿宋_GB2312"/>
                <w:szCs w:val="22"/>
              </w:rPr>
              <w:t>防滑、防砸、防穿刺、绝缘（自带）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983" w:type="pct"/>
            <w:vAlign w:val="center"/>
          </w:tcPr>
          <w:p>
            <w:pPr>
              <w:pStyle w:val="21"/>
              <w:rPr>
                <w:rFonts w:ascii="仿宋" w:hAnsi="仿宋" w:eastAsia="仿宋"/>
                <w:szCs w:val="22"/>
              </w:rPr>
            </w:pPr>
            <w:r>
              <w:rPr>
                <w:rFonts w:ascii="仿宋" w:hAnsi="仿宋" w:eastAsia="仿宋"/>
                <w:szCs w:val="22"/>
              </w:rPr>
              <w:t>安全帽</w:t>
            </w:r>
          </w:p>
        </w:tc>
        <w:tc>
          <w:tcPr>
            <w:tcW w:w="1412" w:type="pct"/>
            <w:vAlign w:val="center"/>
          </w:tcPr>
          <w:p>
            <w:pPr>
              <w:pStyle w:val="21"/>
              <w:rPr>
                <w:rFonts w:ascii="仿宋" w:hAnsi="仿宋" w:eastAsia="仿宋"/>
                <w:szCs w:val="22"/>
              </w:rPr>
            </w:pPr>
            <w:r>
              <w:rPr>
                <w:rFonts w:ascii="仿宋" w:hAnsi="仿宋" w:eastAsia="仿宋"/>
                <w:szCs w:val="22"/>
              </w:rPr>
              <w:drawing>
                <wp:anchor distT="0" distB="0" distL="114300" distR="114300" simplePos="0" relativeHeight="251668480" behindDoc="0" locked="0" layoutInCell="1" allowOverlap="1">
                  <wp:simplePos x="0" y="0"/>
                  <wp:positionH relativeFrom="column">
                    <wp:posOffset>483235</wp:posOffset>
                  </wp:positionH>
                  <wp:positionV relativeFrom="paragraph">
                    <wp:posOffset>159385</wp:posOffset>
                  </wp:positionV>
                  <wp:extent cx="650875" cy="462915"/>
                  <wp:effectExtent l="0" t="0" r="15875" b="13335"/>
                  <wp:wrapNone/>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50875" cy="462915"/>
                          </a:xfrm>
                          <a:prstGeom prst="rect">
                            <a:avLst/>
                          </a:prstGeom>
                          <a:noFill/>
                          <a:ln>
                            <a:noFill/>
                          </a:ln>
                        </pic:spPr>
                      </pic:pic>
                    </a:graphicData>
                  </a:graphic>
                </wp:anchor>
              </w:drawing>
            </w:r>
          </w:p>
        </w:tc>
        <w:tc>
          <w:tcPr>
            <w:tcW w:w="2603" w:type="pct"/>
            <w:vAlign w:val="center"/>
          </w:tcPr>
          <w:p>
            <w:pPr>
              <w:pStyle w:val="21"/>
              <w:jc w:val="left"/>
              <w:rPr>
                <w:rFonts w:ascii="仿宋" w:hAnsi="仿宋" w:eastAsia="仿宋" w:cs="仿宋_GB2312"/>
                <w:szCs w:val="22"/>
              </w:rPr>
            </w:pPr>
            <w:r>
              <w:rPr>
                <w:rFonts w:hint="eastAsia" w:ascii="仿宋" w:hAnsi="仿宋" w:eastAsia="仿宋" w:cs="仿宋_GB2312"/>
                <w:szCs w:val="22"/>
              </w:rPr>
              <w:t>1.用来保护头顶的钢制或类似原料制的浅圆顶</w:t>
            </w:r>
            <w:r>
              <w:fldChar w:fldCharType="begin"/>
            </w:r>
            <w:r>
              <w:instrText xml:space="preserve"> HYPERLINK "https://baike.baidu.com/item/%E5%B8%BD%E5%AD%90/995404" \t "_blank" </w:instrText>
            </w:r>
            <w:r>
              <w:fldChar w:fldCharType="separate"/>
            </w:r>
            <w:r>
              <w:rPr>
                <w:rFonts w:hint="eastAsia" w:ascii="仿宋" w:hAnsi="仿宋" w:eastAsia="仿宋" w:cs="仿宋_GB2312"/>
                <w:szCs w:val="22"/>
              </w:rPr>
              <w:t>帽子</w:t>
            </w:r>
            <w:r>
              <w:rPr>
                <w:rFonts w:hint="eastAsia" w:ascii="仿宋" w:hAnsi="仿宋" w:eastAsia="仿宋" w:cs="仿宋_GB2312"/>
                <w:szCs w:val="22"/>
              </w:rPr>
              <w:fldChar w:fldCharType="end"/>
            </w:r>
            <w:r>
              <w:rPr>
                <w:rFonts w:hint="eastAsia" w:ascii="仿宋" w:hAnsi="仿宋" w:eastAsia="仿宋" w:cs="仿宋_GB2312"/>
                <w:szCs w:val="22"/>
              </w:rPr>
              <w:t>，防止冲击物伤害头部</w:t>
            </w:r>
          </w:p>
          <w:p>
            <w:pPr>
              <w:pStyle w:val="21"/>
              <w:jc w:val="left"/>
              <w:rPr>
                <w:rFonts w:ascii="仿宋" w:hAnsi="仿宋" w:eastAsia="仿宋" w:cs="仿宋_GB2312"/>
                <w:szCs w:val="22"/>
              </w:rPr>
            </w:pPr>
            <w:r>
              <w:rPr>
                <w:rFonts w:hint="eastAsia" w:ascii="仿宋" w:hAnsi="仿宋" w:eastAsia="仿宋" w:cs="仿宋_GB2312"/>
                <w:szCs w:val="22"/>
              </w:rPr>
              <w:t>2.比赛全程选手必须佩戴安全帽</w:t>
            </w:r>
          </w:p>
          <w:p>
            <w:pPr>
              <w:pStyle w:val="21"/>
              <w:jc w:val="left"/>
              <w:rPr>
                <w:rFonts w:ascii="仿宋" w:hAnsi="仿宋" w:eastAsia="仿宋" w:cs="仿宋_GB2312"/>
                <w:szCs w:val="22"/>
              </w:rPr>
            </w:pPr>
            <w:r>
              <w:rPr>
                <w:rFonts w:hint="eastAsia" w:ascii="仿宋" w:hAnsi="仿宋" w:eastAsia="仿宋" w:cs="仿宋_GB2312"/>
                <w:szCs w:val="22"/>
              </w:rPr>
              <w:t>（赛场提供）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983" w:type="pct"/>
            <w:vAlign w:val="center"/>
          </w:tcPr>
          <w:p>
            <w:pPr>
              <w:pStyle w:val="21"/>
              <w:rPr>
                <w:rFonts w:ascii="仿宋" w:hAnsi="仿宋" w:eastAsia="仿宋"/>
                <w:szCs w:val="22"/>
              </w:rPr>
            </w:pPr>
            <w:r>
              <w:rPr>
                <w:rFonts w:ascii="仿宋" w:hAnsi="仿宋" w:eastAsia="仿宋"/>
                <w:szCs w:val="22"/>
              </w:rPr>
              <w:t>工作服</w:t>
            </w:r>
          </w:p>
        </w:tc>
        <w:tc>
          <w:tcPr>
            <w:tcW w:w="1412" w:type="pct"/>
            <w:vAlign w:val="center"/>
          </w:tcPr>
          <w:p>
            <w:pPr>
              <w:pStyle w:val="21"/>
              <w:rPr>
                <w:rFonts w:ascii="仿宋" w:hAnsi="仿宋" w:eastAsia="仿宋"/>
                <w:szCs w:val="22"/>
              </w:rPr>
            </w:pPr>
            <w:r>
              <w:rPr>
                <w:rFonts w:ascii="仿宋" w:hAnsi="仿宋" w:eastAsia="仿宋"/>
                <w:szCs w:val="22"/>
              </w:rPr>
              <w:drawing>
                <wp:anchor distT="0" distB="0" distL="114300" distR="114300" simplePos="0" relativeHeight="251666432" behindDoc="0" locked="0" layoutInCell="1" allowOverlap="1">
                  <wp:simplePos x="0" y="0"/>
                  <wp:positionH relativeFrom="column">
                    <wp:posOffset>393065</wp:posOffset>
                  </wp:positionH>
                  <wp:positionV relativeFrom="paragraph">
                    <wp:posOffset>144145</wp:posOffset>
                  </wp:positionV>
                  <wp:extent cx="673735" cy="751205"/>
                  <wp:effectExtent l="0" t="0" r="12065" b="10795"/>
                  <wp:wrapSquare wrapText="bothSides"/>
                  <wp:docPr id="675" name="图片 675" descr="工作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descr="工作服"/>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73735" cy="751205"/>
                          </a:xfrm>
                          <a:prstGeom prst="rect">
                            <a:avLst/>
                          </a:prstGeom>
                          <a:noFill/>
                          <a:ln>
                            <a:noFill/>
                          </a:ln>
                        </pic:spPr>
                      </pic:pic>
                    </a:graphicData>
                  </a:graphic>
                </wp:anchor>
              </w:drawing>
            </w:r>
          </w:p>
        </w:tc>
        <w:tc>
          <w:tcPr>
            <w:tcW w:w="2603" w:type="pct"/>
            <w:vAlign w:val="center"/>
          </w:tcPr>
          <w:p>
            <w:pPr>
              <w:pStyle w:val="21"/>
              <w:jc w:val="left"/>
              <w:rPr>
                <w:rFonts w:ascii="仿宋" w:hAnsi="仿宋" w:eastAsia="仿宋" w:cs="仿宋_GB2312"/>
                <w:szCs w:val="22"/>
              </w:rPr>
            </w:pPr>
            <w:r>
              <w:rPr>
                <w:rFonts w:hint="eastAsia" w:ascii="仿宋" w:hAnsi="仿宋" w:eastAsia="仿宋" w:cs="仿宋_GB2312"/>
                <w:szCs w:val="22"/>
              </w:rPr>
              <w:t>1.必须是长裤</w:t>
            </w:r>
          </w:p>
          <w:p>
            <w:pPr>
              <w:pStyle w:val="21"/>
              <w:jc w:val="left"/>
              <w:rPr>
                <w:rFonts w:ascii="仿宋" w:hAnsi="仿宋" w:eastAsia="仿宋" w:cs="仿宋_GB2312"/>
                <w:szCs w:val="22"/>
              </w:rPr>
            </w:pPr>
            <w:r>
              <w:rPr>
                <w:rFonts w:hint="eastAsia" w:ascii="仿宋" w:hAnsi="仿宋" w:eastAsia="仿宋" w:cs="仿宋_GB2312"/>
                <w:szCs w:val="22"/>
              </w:rPr>
              <w:t>2.工作服必须紧身不松垮，达到三紧要求（自带）</w:t>
            </w:r>
          </w:p>
        </w:tc>
      </w:tr>
    </w:tbl>
    <w:p>
      <w:pPr>
        <w:ind w:firstLine="560"/>
        <w:rPr>
          <w:rFonts w:cs="Times New Roman"/>
          <w:lang w:eastAsia="zh-CN"/>
        </w:rPr>
      </w:pPr>
      <w:r>
        <w:rPr>
          <w:rFonts w:cs="Times New Roman"/>
          <w:lang w:eastAsia="zh-CN"/>
        </w:rPr>
        <w:t>大赛时，裁判员对违反安全与健康条例、</w:t>
      </w:r>
      <w:r>
        <w:rPr>
          <w:rFonts w:cs="Times New Roman"/>
          <w:spacing w:val="5"/>
          <w:lang w:eastAsia="zh-CN"/>
        </w:rPr>
        <w:t>违反</w:t>
      </w:r>
      <w:r>
        <w:rPr>
          <w:rFonts w:cs="Times New Roman"/>
          <w:lang w:eastAsia="zh-CN"/>
        </w:rPr>
        <w:t>操作规程的选手和现象将提出警告并进行纠正。不听警告，不进行纠</w:t>
      </w:r>
      <w:r>
        <w:rPr>
          <w:rFonts w:cs="Times New Roman"/>
          <w:spacing w:val="3"/>
          <w:lang w:eastAsia="zh-CN"/>
        </w:rPr>
        <w:t>正的参赛选手会受到不允许进入竞赛现场、</w:t>
      </w:r>
      <w:r>
        <w:rPr>
          <w:rFonts w:cs="Times New Roman"/>
          <w:spacing w:val="5"/>
          <w:lang w:eastAsia="zh-CN"/>
        </w:rPr>
        <w:t>罚去安全分、停</w:t>
      </w:r>
      <w:r>
        <w:rPr>
          <w:rFonts w:cs="Times New Roman"/>
          <w:lang w:eastAsia="zh-CN"/>
        </w:rPr>
        <w:t>止加工、取消竞赛资格等不同程度的惩罚。</w:t>
      </w:r>
    </w:p>
    <w:p>
      <w:pPr>
        <w:ind w:firstLine="560"/>
        <w:rPr>
          <w:rFonts w:cs="Times New Roman"/>
          <w:lang w:eastAsia="zh-CN"/>
        </w:rPr>
      </w:pPr>
      <w:r>
        <w:rPr>
          <w:rFonts w:cs="Times New Roman"/>
          <w:lang w:eastAsia="zh-CN"/>
        </w:rPr>
        <w:t>选手防护装备</w:t>
      </w:r>
      <w:r>
        <w:rPr>
          <w:rFonts w:hint="eastAsia" w:cs="Times New Roman"/>
          <w:lang w:eastAsia="zh-CN"/>
        </w:rPr>
        <w:t>佩戴</w:t>
      </w:r>
      <w:r>
        <w:rPr>
          <w:rFonts w:cs="Times New Roman"/>
          <w:lang w:eastAsia="zh-CN"/>
        </w:rPr>
        <w:t>要求见表5。</w:t>
      </w:r>
    </w:p>
    <w:p>
      <w:pPr>
        <w:autoSpaceDE/>
        <w:autoSpaceDN/>
        <w:spacing w:before="156" w:beforeLines="50" w:line="240" w:lineRule="auto"/>
        <w:ind w:firstLine="0" w:firstLineChars="0"/>
        <w:jc w:val="center"/>
        <w:rPr>
          <w:rFonts w:ascii="仿宋_GB2312" w:hAnsi="仿宋_GB2312" w:cs="仿宋_GB2312"/>
          <w:b/>
          <w:kern w:val="2"/>
          <w:sz w:val="24"/>
          <w:szCs w:val="24"/>
          <w:lang w:eastAsia="zh-CN"/>
        </w:rPr>
      </w:pPr>
      <w:r>
        <w:rPr>
          <w:rFonts w:ascii="仿宋_GB2312" w:hAnsi="仿宋_GB2312" w:cs="仿宋_GB2312"/>
          <w:b/>
          <w:kern w:val="2"/>
          <w:sz w:val="24"/>
          <w:szCs w:val="24"/>
          <w:lang w:eastAsia="zh-CN"/>
        </w:rPr>
        <w:t>表5选手防护装备</w:t>
      </w:r>
      <w:r>
        <w:rPr>
          <w:rFonts w:hint="eastAsia" w:ascii="仿宋_GB2312" w:hAnsi="仿宋_GB2312" w:cs="仿宋_GB2312"/>
          <w:b/>
          <w:kern w:val="2"/>
          <w:sz w:val="24"/>
          <w:szCs w:val="24"/>
          <w:lang w:eastAsia="zh-CN"/>
        </w:rPr>
        <w:t>佩戴</w:t>
      </w:r>
      <w:r>
        <w:rPr>
          <w:rFonts w:ascii="仿宋_GB2312" w:hAnsi="仿宋_GB2312" w:cs="仿宋_GB2312"/>
          <w:b/>
          <w:kern w:val="2"/>
          <w:sz w:val="24"/>
          <w:szCs w:val="24"/>
          <w:lang w:eastAsia="zh-CN"/>
        </w:rPr>
        <w:t>要求</w:t>
      </w:r>
    </w:p>
    <w:tbl>
      <w:tblPr>
        <w:tblStyle w:val="1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16"/>
        <w:gridCol w:w="5561"/>
        <w:gridCol w:w="1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78" w:type="pct"/>
            <w:shd w:val="clear" w:color="auto" w:fill="auto"/>
            <w:vAlign w:val="center"/>
          </w:tcPr>
          <w:p>
            <w:pPr>
              <w:pStyle w:val="21"/>
              <w:rPr>
                <w:b/>
                <w:bCs w:val="0"/>
              </w:rPr>
            </w:pPr>
            <w:r>
              <w:rPr>
                <w:rFonts w:hint="eastAsia"/>
                <w:b/>
                <w:bCs w:val="0"/>
              </w:rPr>
              <w:t>时段</w:t>
            </w:r>
          </w:p>
        </w:tc>
        <w:tc>
          <w:tcPr>
            <w:tcW w:w="2994" w:type="pct"/>
            <w:shd w:val="clear" w:color="auto" w:fill="auto"/>
            <w:vAlign w:val="center"/>
          </w:tcPr>
          <w:p>
            <w:pPr>
              <w:pStyle w:val="21"/>
              <w:rPr>
                <w:b/>
                <w:bCs w:val="0"/>
              </w:rPr>
            </w:pPr>
            <w:r>
              <w:rPr>
                <w:rFonts w:hint="eastAsia"/>
                <w:b/>
                <w:bCs w:val="0"/>
              </w:rPr>
              <w:t>要求</w:t>
            </w:r>
          </w:p>
        </w:tc>
        <w:tc>
          <w:tcPr>
            <w:tcW w:w="1027" w:type="pct"/>
            <w:shd w:val="clear" w:color="auto" w:fill="auto"/>
            <w:vAlign w:val="center"/>
          </w:tcPr>
          <w:p>
            <w:pPr>
              <w:pStyle w:val="21"/>
              <w:rPr>
                <w:b/>
                <w:bCs w:val="0"/>
              </w:rPr>
            </w:pPr>
            <w:r>
              <w:rPr>
                <w:rFonts w:hint="eastAsia"/>
                <w:b/>
                <w:bCs w:val="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pct"/>
            <w:vAlign w:val="center"/>
          </w:tcPr>
          <w:p>
            <w:pPr>
              <w:pStyle w:val="21"/>
              <w:rPr>
                <w:szCs w:val="22"/>
              </w:rPr>
            </w:pPr>
            <w:r>
              <w:rPr>
                <w:rFonts w:hint="eastAsia"/>
                <w:szCs w:val="22"/>
              </w:rPr>
              <w:t>安装</w:t>
            </w:r>
            <w:r>
              <w:rPr>
                <w:szCs w:val="22"/>
              </w:rPr>
              <w:t>操作时</w:t>
            </w:r>
          </w:p>
        </w:tc>
        <w:tc>
          <w:tcPr>
            <w:tcW w:w="2994" w:type="pct"/>
            <w:vAlign w:val="center"/>
          </w:tcPr>
          <w:p>
            <w:pPr>
              <w:pStyle w:val="21"/>
              <w:rPr>
                <w:szCs w:val="22"/>
              </w:rPr>
            </w:pPr>
            <w:r>
              <w:rPr>
                <w:szCs w:val="22"/>
              </w:rPr>
              <w:drawing>
                <wp:inline distT="0" distB="0" distL="0" distR="0">
                  <wp:extent cx="534035" cy="718820"/>
                  <wp:effectExtent l="0" t="0" r="18415" b="5080"/>
                  <wp:docPr id="17" name="图片 17"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标&#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4035" cy="718820"/>
                          </a:xfrm>
                          <a:prstGeom prst="rect">
                            <a:avLst/>
                          </a:prstGeom>
                          <a:noFill/>
                          <a:ln>
                            <a:noFill/>
                          </a:ln>
                        </pic:spPr>
                      </pic:pic>
                    </a:graphicData>
                  </a:graphic>
                </wp:inline>
              </w:drawing>
            </w:r>
            <w:r>
              <w:rPr>
                <w:szCs w:val="22"/>
              </w:rPr>
              <w:drawing>
                <wp:inline distT="0" distB="0" distL="0" distR="0">
                  <wp:extent cx="523240" cy="697865"/>
                  <wp:effectExtent l="0" t="0" r="10160" b="6985"/>
                  <wp:docPr id="21" name="图片 21" descr="http://t02.pic.sogou.com/1bd6e0d6103d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t02.pic.sogou.com/1bd6e0d6103d23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3240" cy="697865"/>
                          </a:xfrm>
                          <a:prstGeom prst="rect">
                            <a:avLst/>
                          </a:prstGeom>
                          <a:noFill/>
                          <a:ln>
                            <a:noFill/>
                          </a:ln>
                        </pic:spPr>
                      </pic:pic>
                    </a:graphicData>
                  </a:graphic>
                </wp:inline>
              </w:drawing>
            </w:r>
            <w:r>
              <w:rPr>
                <w:szCs w:val="22"/>
              </w:rPr>
              <w:drawing>
                <wp:inline distT="0" distB="0" distL="0" distR="0">
                  <wp:extent cx="523240" cy="697865"/>
                  <wp:effectExtent l="0" t="0" r="10160" b="6985"/>
                  <wp:docPr id="672" name="图片 672" descr="http://www.bspbp.com/uploadpic/zl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descr="http://www.bspbp.com/uploadpic/zl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3240" cy="697865"/>
                          </a:xfrm>
                          <a:prstGeom prst="rect">
                            <a:avLst/>
                          </a:prstGeom>
                          <a:noFill/>
                          <a:ln>
                            <a:noFill/>
                          </a:ln>
                        </pic:spPr>
                      </pic:pic>
                    </a:graphicData>
                  </a:graphic>
                </wp:inline>
              </w:drawing>
            </w:r>
            <w:r>
              <w:rPr>
                <w:szCs w:val="22"/>
              </w:rPr>
              <w:drawing>
                <wp:inline distT="0" distB="0" distL="0" distR="0">
                  <wp:extent cx="523240" cy="697865"/>
                  <wp:effectExtent l="0" t="0" r="10160" b="6985"/>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3240" cy="697865"/>
                          </a:xfrm>
                          <a:prstGeom prst="rect">
                            <a:avLst/>
                          </a:prstGeom>
                          <a:noFill/>
                          <a:ln>
                            <a:noFill/>
                          </a:ln>
                        </pic:spPr>
                      </pic:pic>
                    </a:graphicData>
                  </a:graphic>
                </wp:inline>
              </w:drawing>
            </w:r>
          </w:p>
        </w:tc>
        <w:tc>
          <w:tcPr>
            <w:tcW w:w="1027" w:type="pct"/>
            <w:vAlign w:val="center"/>
          </w:tcPr>
          <w:p>
            <w:pPr>
              <w:pStyle w:val="21"/>
              <w:rPr>
                <w:szCs w:val="22"/>
              </w:rPr>
            </w:pPr>
            <w:r>
              <w:rPr>
                <w:rFonts w:hint="eastAsia"/>
                <w:szCs w:val="22"/>
              </w:rPr>
              <w:t>可以</w:t>
            </w:r>
            <w:r>
              <w:rPr>
                <w:szCs w:val="22"/>
              </w:rPr>
              <w:t>牛仔裤配紧身上衣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pct"/>
            <w:vAlign w:val="center"/>
          </w:tcPr>
          <w:p>
            <w:pPr>
              <w:pStyle w:val="21"/>
              <w:rPr>
                <w:szCs w:val="22"/>
              </w:rPr>
            </w:pPr>
            <w:r>
              <w:rPr>
                <w:szCs w:val="22"/>
              </w:rPr>
              <w:t>编程时</w:t>
            </w:r>
          </w:p>
        </w:tc>
        <w:tc>
          <w:tcPr>
            <w:tcW w:w="2994" w:type="pct"/>
            <w:vAlign w:val="center"/>
          </w:tcPr>
          <w:p>
            <w:pPr>
              <w:pStyle w:val="21"/>
              <w:rPr>
                <w:szCs w:val="22"/>
              </w:rPr>
            </w:pPr>
            <w:r>
              <w:rPr>
                <w:szCs w:val="22"/>
              </w:rPr>
              <w:drawing>
                <wp:inline distT="0" distB="0" distL="0" distR="0">
                  <wp:extent cx="523240" cy="697865"/>
                  <wp:effectExtent l="0" t="0" r="10160" b="6985"/>
                  <wp:docPr id="2" name="图片 2" descr="http://t02.pic.sogou.com/1bd6e0d6103d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t02.pic.sogou.com/1bd6e0d6103d23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3240" cy="697865"/>
                          </a:xfrm>
                          <a:prstGeom prst="rect">
                            <a:avLst/>
                          </a:prstGeom>
                          <a:noFill/>
                          <a:ln>
                            <a:noFill/>
                          </a:ln>
                        </pic:spPr>
                      </pic:pic>
                    </a:graphicData>
                  </a:graphic>
                </wp:inline>
              </w:drawing>
            </w:r>
            <w:r>
              <w:rPr>
                <w:szCs w:val="22"/>
              </w:rPr>
              <w:drawing>
                <wp:inline distT="0" distB="0" distL="0" distR="0">
                  <wp:extent cx="523240" cy="697865"/>
                  <wp:effectExtent l="0" t="0" r="10160" b="6985"/>
                  <wp:docPr id="1" name="图片 1" descr="http://www.bspbp.com/uploadpic/zl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bspbp.com/uploadpic/zl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3240" cy="697865"/>
                          </a:xfrm>
                          <a:prstGeom prst="rect">
                            <a:avLst/>
                          </a:prstGeom>
                          <a:noFill/>
                          <a:ln>
                            <a:noFill/>
                          </a:ln>
                        </pic:spPr>
                      </pic:pic>
                    </a:graphicData>
                  </a:graphic>
                </wp:inline>
              </w:drawing>
            </w:r>
          </w:p>
        </w:tc>
        <w:tc>
          <w:tcPr>
            <w:tcW w:w="1027" w:type="pct"/>
            <w:vAlign w:val="center"/>
          </w:tcPr>
          <w:p>
            <w:pPr>
              <w:pStyle w:val="21"/>
              <w:rPr>
                <w:szCs w:val="22"/>
              </w:rPr>
            </w:pPr>
          </w:p>
        </w:tc>
      </w:tr>
    </w:tbl>
    <w:p>
      <w:pPr>
        <w:pStyle w:val="4"/>
        <w:rPr>
          <w:lang w:eastAsia="zh-CN"/>
        </w:rPr>
      </w:pPr>
      <w:bookmarkStart w:id="331" w:name="_Toc108109281"/>
      <w:bookmarkStart w:id="332" w:name="_TOC_300045"/>
      <w:bookmarkStart w:id="333" w:name="_Toc142493532"/>
      <w:bookmarkStart w:id="334" w:name="_Toc107129665"/>
      <w:bookmarkStart w:id="335" w:name="_Toc17877"/>
      <w:bookmarkStart w:id="336" w:name="_Toc106539840"/>
      <w:bookmarkStart w:id="337" w:name="_Toc964"/>
      <w:r>
        <w:rPr>
          <w:lang w:eastAsia="zh-CN"/>
        </w:rPr>
        <w:t>12.2有毒有害物品的管理和限制</w:t>
      </w:r>
      <w:bookmarkEnd w:id="331"/>
      <w:bookmarkEnd w:id="332"/>
      <w:bookmarkEnd w:id="333"/>
      <w:bookmarkEnd w:id="334"/>
      <w:bookmarkEnd w:id="335"/>
      <w:bookmarkEnd w:id="336"/>
      <w:bookmarkEnd w:id="337"/>
    </w:p>
    <w:p>
      <w:pPr>
        <w:ind w:firstLine="560"/>
        <w:rPr>
          <w:rFonts w:ascii="仿宋_GB2312" w:hAnsi="仿宋_GB2312" w:cs="仿宋_GB2312"/>
          <w:szCs w:val="30"/>
          <w:lang w:eastAsia="zh-CN"/>
        </w:rPr>
      </w:pPr>
      <w:r>
        <w:rPr>
          <w:rFonts w:hint="eastAsia" w:ascii="仿宋_GB2312" w:hAnsi="仿宋_GB2312" w:cs="仿宋_GB2312"/>
          <w:szCs w:val="30"/>
          <w:lang w:eastAsia="zh-CN"/>
        </w:rPr>
        <w:t>选手禁止携带表</w:t>
      </w:r>
      <w:r>
        <w:rPr>
          <w:rFonts w:ascii="仿宋_GB2312" w:hAnsi="仿宋_GB2312" w:cs="仿宋_GB2312"/>
          <w:szCs w:val="30"/>
          <w:lang w:eastAsia="zh-CN"/>
        </w:rPr>
        <w:t>6</w:t>
      </w:r>
      <w:r>
        <w:rPr>
          <w:rFonts w:hint="eastAsia" w:ascii="仿宋_GB2312" w:hAnsi="仿宋_GB2312" w:cs="仿宋_GB2312"/>
          <w:szCs w:val="30"/>
          <w:lang w:eastAsia="zh-CN"/>
        </w:rPr>
        <w:t>所示的物品。</w:t>
      </w:r>
    </w:p>
    <w:p>
      <w:pPr>
        <w:autoSpaceDE/>
        <w:autoSpaceDN/>
        <w:spacing w:before="156" w:beforeLines="50" w:line="240" w:lineRule="auto"/>
        <w:ind w:firstLine="0" w:firstLineChars="0"/>
        <w:jc w:val="center"/>
        <w:rPr>
          <w:rFonts w:ascii="仿宋_GB2312" w:hAnsi="仿宋_GB2312" w:cs="仿宋_GB2312"/>
          <w:b/>
          <w:kern w:val="2"/>
          <w:sz w:val="24"/>
          <w:szCs w:val="24"/>
          <w:lang w:eastAsia="zh-CN"/>
        </w:rPr>
      </w:pPr>
      <w:r>
        <w:rPr>
          <w:rFonts w:ascii="仿宋_GB2312" w:hAnsi="仿宋_GB2312" w:cs="仿宋_GB2312"/>
          <w:b/>
          <w:kern w:val="2"/>
          <w:sz w:val="24"/>
          <w:szCs w:val="24"/>
          <w:lang w:eastAsia="zh-CN"/>
        </w:rPr>
        <w:t>表6选手禁带的物品</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9"/>
        <w:gridCol w:w="1621"/>
        <w:gridCol w:w="1623"/>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788" w:type="pct"/>
            <w:vAlign w:val="center"/>
          </w:tcPr>
          <w:p>
            <w:pPr>
              <w:pStyle w:val="21"/>
              <w:rPr>
                <w:b/>
                <w:bCs w:val="0"/>
              </w:rPr>
            </w:pPr>
            <w:r>
              <w:rPr>
                <w:rFonts w:hint="eastAsia"/>
                <w:b/>
                <w:bCs w:val="0"/>
              </w:rPr>
              <w:t>有害物品</w:t>
            </w:r>
          </w:p>
        </w:tc>
        <w:tc>
          <w:tcPr>
            <w:tcW w:w="1747" w:type="pct"/>
            <w:gridSpan w:val="2"/>
            <w:vAlign w:val="center"/>
          </w:tcPr>
          <w:p>
            <w:pPr>
              <w:pStyle w:val="21"/>
              <w:rPr>
                <w:b/>
                <w:bCs w:val="0"/>
              </w:rPr>
            </w:pPr>
            <w:r>
              <w:rPr>
                <w:rFonts w:hint="eastAsia"/>
                <w:b/>
                <w:bCs w:val="0"/>
              </w:rPr>
              <w:t>图示</w:t>
            </w:r>
          </w:p>
        </w:tc>
        <w:tc>
          <w:tcPr>
            <w:tcW w:w="1465" w:type="pct"/>
            <w:vAlign w:val="center"/>
          </w:tcPr>
          <w:p>
            <w:pPr>
              <w:pStyle w:val="21"/>
              <w:rPr>
                <w:b/>
                <w:bCs w:val="0"/>
              </w:rPr>
            </w:pPr>
            <w:r>
              <w:rPr>
                <w:rFonts w:hint="eastAsia"/>
                <w:b/>
                <w:bCs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788" w:type="pct"/>
            <w:vAlign w:val="center"/>
          </w:tcPr>
          <w:p>
            <w:pPr>
              <w:pStyle w:val="21"/>
              <w:rPr>
                <w:szCs w:val="22"/>
              </w:rPr>
            </w:pPr>
            <w:r>
              <w:rPr>
                <w:szCs w:val="22"/>
              </w:rPr>
              <w:t>防锈清洗剂</w:t>
            </w:r>
          </w:p>
        </w:tc>
        <w:tc>
          <w:tcPr>
            <w:tcW w:w="1747" w:type="pct"/>
            <w:gridSpan w:val="2"/>
            <w:vAlign w:val="center"/>
          </w:tcPr>
          <w:p>
            <w:pPr>
              <w:pStyle w:val="21"/>
              <w:rPr>
                <w:szCs w:val="22"/>
              </w:rPr>
            </w:pPr>
            <w:r>
              <w:rPr>
                <w:szCs w:val="22"/>
              </w:rPr>
              <w:drawing>
                <wp:anchor distT="0" distB="0" distL="114300" distR="114300" simplePos="0" relativeHeight="251659264" behindDoc="0" locked="0" layoutInCell="1" allowOverlap="1">
                  <wp:simplePos x="0" y="0"/>
                  <wp:positionH relativeFrom="column">
                    <wp:posOffset>413385</wp:posOffset>
                  </wp:positionH>
                  <wp:positionV relativeFrom="paragraph">
                    <wp:posOffset>85090</wp:posOffset>
                  </wp:positionV>
                  <wp:extent cx="596265" cy="596265"/>
                  <wp:effectExtent l="0" t="0" r="13335" b="13335"/>
                  <wp:wrapSquare wrapText="bothSides"/>
                  <wp:docPr id="674" name="图片 674" desc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descr="W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6265" cy="596265"/>
                          </a:xfrm>
                          <a:prstGeom prst="rect">
                            <a:avLst/>
                          </a:prstGeom>
                          <a:noFill/>
                          <a:ln>
                            <a:noFill/>
                          </a:ln>
                        </pic:spPr>
                      </pic:pic>
                    </a:graphicData>
                  </a:graphic>
                </wp:anchor>
              </w:drawing>
            </w:r>
          </w:p>
        </w:tc>
        <w:tc>
          <w:tcPr>
            <w:tcW w:w="1465" w:type="pct"/>
            <w:vAlign w:val="center"/>
          </w:tcPr>
          <w:p>
            <w:pPr>
              <w:pStyle w:val="21"/>
              <w:rPr>
                <w:szCs w:val="22"/>
              </w:rPr>
            </w:pPr>
            <w:r>
              <w:rPr>
                <w:szCs w:val="22"/>
              </w:rPr>
              <w:drawing>
                <wp:anchor distT="0" distB="0" distL="114300" distR="114300" simplePos="0" relativeHeight="251665408" behindDoc="0" locked="0" layoutInCell="1" allowOverlap="1">
                  <wp:simplePos x="0" y="0"/>
                  <wp:positionH relativeFrom="column">
                    <wp:posOffset>1148715</wp:posOffset>
                  </wp:positionH>
                  <wp:positionV relativeFrom="paragraph">
                    <wp:posOffset>174625</wp:posOffset>
                  </wp:positionV>
                  <wp:extent cx="371475" cy="350520"/>
                  <wp:effectExtent l="0" t="0" r="9525" b="11430"/>
                  <wp:wrapSquare wrapText="bothSides"/>
                  <wp:docPr id="678"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1475" cy="350520"/>
                          </a:xfrm>
                          <a:prstGeom prst="rect">
                            <a:avLst/>
                          </a:prstGeom>
                          <a:noFill/>
                          <a:ln>
                            <a:noFill/>
                          </a:ln>
                        </pic:spPr>
                      </pic:pic>
                    </a:graphicData>
                  </a:graphic>
                </wp:anchor>
              </w:drawing>
            </w:r>
            <w:r>
              <w:rPr>
                <w:szCs w:val="22"/>
              </w:rPr>
              <w:t>禁止携带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788" w:type="pct"/>
            <w:vAlign w:val="center"/>
          </w:tcPr>
          <w:p>
            <w:pPr>
              <w:pStyle w:val="21"/>
              <w:rPr>
                <w:szCs w:val="22"/>
              </w:rPr>
            </w:pPr>
            <w:r>
              <w:rPr>
                <w:szCs w:val="22"/>
              </w:rPr>
              <w:t>酒精、汽油</w:t>
            </w:r>
          </w:p>
        </w:tc>
        <w:tc>
          <w:tcPr>
            <w:tcW w:w="873" w:type="pct"/>
            <w:vAlign w:val="center"/>
          </w:tcPr>
          <w:p>
            <w:pPr>
              <w:pStyle w:val="21"/>
              <w:rPr>
                <w:szCs w:val="22"/>
              </w:rPr>
            </w:pPr>
            <w:r>
              <w:rPr>
                <w:szCs w:val="22"/>
              </w:rPr>
              <w:drawing>
                <wp:anchor distT="0" distB="0" distL="114300" distR="114300" simplePos="0" relativeHeight="251662336" behindDoc="0" locked="0" layoutInCell="1" allowOverlap="1">
                  <wp:simplePos x="0" y="0"/>
                  <wp:positionH relativeFrom="column">
                    <wp:posOffset>243840</wp:posOffset>
                  </wp:positionH>
                  <wp:positionV relativeFrom="paragraph">
                    <wp:posOffset>69850</wp:posOffset>
                  </wp:positionV>
                  <wp:extent cx="459740" cy="459740"/>
                  <wp:effectExtent l="0" t="0" r="16510" b="16510"/>
                  <wp:wrapNone/>
                  <wp:docPr id="679" name="图片 679" descr="酒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descr="酒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9740" cy="459740"/>
                          </a:xfrm>
                          <a:prstGeom prst="rect">
                            <a:avLst/>
                          </a:prstGeom>
                          <a:noFill/>
                          <a:ln>
                            <a:noFill/>
                          </a:ln>
                        </pic:spPr>
                      </pic:pic>
                    </a:graphicData>
                  </a:graphic>
                </wp:anchor>
              </w:drawing>
            </w:r>
          </w:p>
        </w:tc>
        <w:tc>
          <w:tcPr>
            <w:tcW w:w="874" w:type="pct"/>
            <w:vAlign w:val="center"/>
          </w:tcPr>
          <w:p>
            <w:pPr>
              <w:pStyle w:val="21"/>
              <w:rPr>
                <w:szCs w:val="22"/>
              </w:rPr>
            </w:pPr>
            <w:r>
              <w:rPr>
                <w:szCs w:val="22"/>
              </w:rPr>
              <w:drawing>
                <wp:anchor distT="0" distB="0" distL="114300" distR="114300" simplePos="0" relativeHeight="251663360" behindDoc="0" locked="0" layoutInCell="1" allowOverlap="1">
                  <wp:simplePos x="0" y="0"/>
                  <wp:positionH relativeFrom="column">
                    <wp:posOffset>123825</wp:posOffset>
                  </wp:positionH>
                  <wp:positionV relativeFrom="paragraph">
                    <wp:posOffset>83820</wp:posOffset>
                  </wp:positionV>
                  <wp:extent cx="499745" cy="446405"/>
                  <wp:effectExtent l="0" t="0" r="14605" b="10795"/>
                  <wp:wrapNone/>
                  <wp:docPr id="19" name="图片 19" descr="汽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汽油"/>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99745" cy="446405"/>
                          </a:xfrm>
                          <a:prstGeom prst="rect">
                            <a:avLst/>
                          </a:prstGeom>
                          <a:noFill/>
                          <a:ln>
                            <a:noFill/>
                          </a:ln>
                        </pic:spPr>
                      </pic:pic>
                    </a:graphicData>
                  </a:graphic>
                </wp:anchor>
              </w:drawing>
            </w:r>
          </w:p>
        </w:tc>
        <w:tc>
          <w:tcPr>
            <w:tcW w:w="1465" w:type="pct"/>
            <w:vAlign w:val="center"/>
          </w:tcPr>
          <w:p>
            <w:pPr>
              <w:pStyle w:val="21"/>
              <w:rPr>
                <w:szCs w:val="22"/>
              </w:rPr>
            </w:pPr>
            <w:r>
              <w:rPr>
                <w:szCs w:val="22"/>
              </w:rPr>
              <w:drawing>
                <wp:anchor distT="0" distB="0" distL="114300" distR="114300" simplePos="0" relativeHeight="251664384" behindDoc="0" locked="0" layoutInCell="1" allowOverlap="1">
                  <wp:simplePos x="0" y="0"/>
                  <wp:positionH relativeFrom="column">
                    <wp:posOffset>1101725</wp:posOffset>
                  </wp:positionH>
                  <wp:positionV relativeFrom="paragraph">
                    <wp:posOffset>101600</wp:posOffset>
                  </wp:positionV>
                  <wp:extent cx="371475" cy="350520"/>
                  <wp:effectExtent l="0" t="0" r="9525" b="1143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1475" cy="350520"/>
                          </a:xfrm>
                          <a:prstGeom prst="rect">
                            <a:avLst/>
                          </a:prstGeom>
                          <a:noFill/>
                          <a:ln>
                            <a:noFill/>
                          </a:ln>
                        </pic:spPr>
                      </pic:pic>
                    </a:graphicData>
                  </a:graphic>
                </wp:anchor>
              </w:drawing>
            </w:r>
            <w:r>
              <w:rPr>
                <w:szCs w:val="22"/>
              </w:rPr>
              <w:t>严禁携带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88" w:type="pct"/>
            <w:vAlign w:val="center"/>
          </w:tcPr>
          <w:p>
            <w:pPr>
              <w:pStyle w:val="21"/>
              <w:rPr>
                <w:szCs w:val="22"/>
              </w:rPr>
            </w:pPr>
            <w:r>
              <w:rPr>
                <w:szCs w:val="22"/>
              </w:rPr>
              <w:t>有毒有害物</w:t>
            </w:r>
          </w:p>
        </w:tc>
        <w:tc>
          <w:tcPr>
            <w:tcW w:w="1747" w:type="pct"/>
            <w:gridSpan w:val="2"/>
            <w:vAlign w:val="center"/>
          </w:tcPr>
          <w:p>
            <w:pPr>
              <w:pStyle w:val="21"/>
              <w:rPr>
                <w:szCs w:val="22"/>
              </w:rPr>
            </w:pPr>
            <w:r>
              <w:rPr>
                <w:szCs w:val="22"/>
              </w:rPr>
              <w:drawing>
                <wp:anchor distT="0" distB="0" distL="114300" distR="114300" simplePos="0" relativeHeight="251660288" behindDoc="0" locked="0" layoutInCell="1" allowOverlap="1">
                  <wp:simplePos x="0" y="0"/>
                  <wp:positionH relativeFrom="column">
                    <wp:posOffset>429260</wp:posOffset>
                  </wp:positionH>
                  <wp:positionV relativeFrom="paragraph">
                    <wp:posOffset>93345</wp:posOffset>
                  </wp:positionV>
                  <wp:extent cx="775970" cy="397510"/>
                  <wp:effectExtent l="0" t="0" r="5080" b="2540"/>
                  <wp:wrapSquare wrapText="bothSides"/>
                  <wp:docPr id="14" name="图片 14" descr="有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有毒"/>
                          <pic:cNvPicPr>
                            <a:picLocks noChangeAspect="1" noChangeArrowheads="1"/>
                          </pic:cNvPicPr>
                        </pic:nvPicPr>
                        <pic:blipFill>
                          <a:blip r:embed="rId27" cstate="print">
                            <a:extLst>
                              <a:ext uri="{28A0092B-C50C-407E-A947-70E740481C1C}">
                                <a14:useLocalDpi xmlns:a14="http://schemas.microsoft.com/office/drawing/2010/main" val="0"/>
                              </a:ext>
                            </a:extLst>
                          </a:blip>
                          <a:srcRect b="14420"/>
                          <a:stretch>
                            <a:fillRect/>
                          </a:stretch>
                        </pic:blipFill>
                        <pic:spPr>
                          <a:xfrm>
                            <a:off x="0" y="0"/>
                            <a:ext cx="775970" cy="397510"/>
                          </a:xfrm>
                          <a:prstGeom prst="rect">
                            <a:avLst/>
                          </a:prstGeom>
                          <a:noFill/>
                          <a:ln>
                            <a:noFill/>
                          </a:ln>
                        </pic:spPr>
                      </pic:pic>
                    </a:graphicData>
                  </a:graphic>
                </wp:anchor>
              </w:drawing>
            </w:r>
          </w:p>
        </w:tc>
        <w:tc>
          <w:tcPr>
            <w:tcW w:w="1465" w:type="pct"/>
            <w:vAlign w:val="center"/>
          </w:tcPr>
          <w:p>
            <w:pPr>
              <w:pStyle w:val="21"/>
              <w:rPr>
                <w:szCs w:val="22"/>
              </w:rPr>
            </w:pPr>
            <w:r>
              <w:rPr>
                <w:szCs w:val="22"/>
              </w:rPr>
              <w:drawing>
                <wp:anchor distT="0" distB="0" distL="114300" distR="114300" simplePos="0" relativeHeight="251661312" behindDoc="0" locked="0" layoutInCell="1" allowOverlap="1">
                  <wp:simplePos x="0" y="0"/>
                  <wp:positionH relativeFrom="column">
                    <wp:posOffset>1141730</wp:posOffset>
                  </wp:positionH>
                  <wp:positionV relativeFrom="paragraph">
                    <wp:posOffset>121285</wp:posOffset>
                  </wp:positionV>
                  <wp:extent cx="372110" cy="351155"/>
                  <wp:effectExtent l="0" t="0" r="8890" b="10795"/>
                  <wp:wrapSquare wrapText="bothSides"/>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2110" cy="351155"/>
                          </a:xfrm>
                          <a:prstGeom prst="rect">
                            <a:avLst/>
                          </a:prstGeom>
                          <a:noFill/>
                          <a:ln>
                            <a:noFill/>
                          </a:ln>
                        </pic:spPr>
                      </pic:pic>
                    </a:graphicData>
                  </a:graphic>
                </wp:anchor>
              </w:drawing>
            </w:r>
            <w:r>
              <w:rPr>
                <w:szCs w:val="22"/>
              </w:rPr>
              <w:t>严禁携带</w:t>
            </w:r>
          </w:p>
        </w:tc>
      </w:tr>
    </w:tbl>
    <w:p>
      <w:pPr>
        <w:ind w:firstLine="560"/>
        <w:rPr>
          <w:rFonts w:ascii="仿宋_GB2312" w:hAnsi="仿宋_GB2312" w:cs="仿宋_GB2312"/>
          <w:szCs w:val="30"/>
          <w:lang w:eastAsia="zh-CN"/>
        </w:rPr>
      </w:pPr>
      <w:bookmarkStart w:id="338" w:name="_Toc107129666"/>
      <w:bookmarkStart w:id="339" w:name="_TOC_300046"/>
      <w:bookmarkStart w:id="340" w:name="_Toc106539841"/>
      <w:bookmarkStart w:id="341" w:name="_Toc108109282"/>
      <w:r>
        <w:rPr>
          <w:rFonts w:hint="eastAsia" w:ascii="仿宋_GB2312" w:hAnsi="仿宋_GB2312" w:cs="仿宋_GB2312"/>
          <w:szCs w:val="30"/>
          <w:lang w:eastAsia="zh-CN"/>
        </w:rPr>
        <w:t>竞赛期间产生的废料必须分类收集和回收。</w:t>
      </w:r>
    </w:p>
    <w:p>
      <w:pPr>
        <w:pStyle w:val="4"/>
        <w:rPr>
          <w:lang w:eastAsia="zh-CN"/>
        </w:rPr>
      </w:pPr>
      <w:bookmarkStart w:id="342" w:name="_Toc15163"/>
      <w:bookmarkStart w:id="343" w:name="_Toc12345"/>
      <w:bookmarkStart w:id="344" w:name="_Toc142493533"/>
      <w:r>
        <w:rPr>
          <w:lang w:eastAsia="zh-CN"/>
        </w:rPr>
        <w:t>12.3医疗设备和措施</w:t>
      </w:r>
      <w:bookmarkEnd w:id="338"/>
      <w:bookmarkEnd w:id="339"/>
      <w:bookmarkEnd w:id="340"/>
      <w:bookmarkEnd w:id="341"/>
      <w:bookmarkEnd w:id="342"/>
      <w:bookmarkEnd w:id="343"/>
      <w:bookmarkEnd w:id="344"/>
    </w:p>
    <w:p>
      <w:pPr>
        <w:ind w:firstLine="556"/>
        <w:rPr>
          <w:rFonts w:cs="Times New Roman"/>
          <w:lang w:eastAsia="zh-CN"/>
        </w:rPr>
      </w:pPr>
      <w:r>
        <w:rPr>
          <w:rFonts w:cs="Times New Roman"/>
          <w:spacing w:val="-1"/>
          <w:lang w:eastAsia="zh-CN"/>
        </w:rPr>
        <w:t>赛场</w:t>
      </w:r>
      <w:r>
        <w:rPr>
          <w:rFonts w:cs="Times New Roman"/>
          <w:lang w:eastAsia="zh-CN"/>
        </w:rPr>
        <w:t>必须配备医护人员</w:t>
      </w:r>
      <w:r>
        <w:rPr>
          <w:rFonts w:hint="eastAsia" w:cs="Times New Roman"/>
          <w:lang w:eastAsia="zh-CN"/>
        </w:rPr>
        <w:t>和必需的</w:t>
      </w:r>
      <w:r>
        <w:rPr>
          <w:rFonts w:cs="Times New Roman"/>
          <w:lang w:eastAsia="zh-CN"/>
        </w:rPr>
        <w:t>药品。</w:t>
      </w:r>
    </w:p>
    <w:p>
      <w:pPr>
        <w:pStyle w:val="3"/>
        <w:rPr>
          <w:lang w:eastAsia="zh-CN"/>
        </w:rPr>
      </w:pPr>
      <w:bookmarkStart w:id="345" w:name="_TOC_300047"/>
      <w:bookmarkStart w:id="346" w:name="_Toc142493534"/>
      <w:bookmarkStart w:id="347" w:name="_Toc7959"/>
      <w:bookmarkStart w:id="348" w:name="_Toc81"/>
      <w:bookmarkStart w:id="349" w:name="_Toc108109283"/>
      <w:bookmarkStart w:id="350" w:name="_Toc106539842"/>
      <w:bookmarkStart w:id="351" w:name="_Toc107129667"/>
      <w:r>
        <w:rPr>
          <w:lang w:eastAsia="zh-CN"/>
        </w:rPr>
        <w:t>13竞赛</w:t>
      </w:r>
      <w:bookmarkEnd w:id="345"/>
      <w:r>
        <w:rPr>
          <w:lang w:eastAsia="zh-CN"/>
        </w:rPr>
        <w:t>须知</w:t>
      </w:r>
      <w:bookmarkEnd w:id="346"/>
      <w:bookmarkEnd w:id="347"/>
      <w:bookmarkEnd w:id="348"/>
      <w:bookmarkEnd w:id="349"/>
      <w:bookmarkEnd w:id="350"/>
      <w:bookmarkEnd w:id="351"/>
    </w:p>
    <w:p>
      <w:pPr>
        <w:pStyle w:val="4"/>
        <w:rPr>
          <w:lang w:eastAsia="zh-CN"/>
        </w:rPr>
      </w:pPr>
      <w:bookmarkStart w:id="352" w:name="_Toc107129668"/>
      <w:bookmarkStart w:id="353" w:name="_TOC_300048"/>
      <w:bookmarkStart w:id="354" w:name="_Toc106539843"/>
      <w:bookmarkStart w:id="355" w:name="_Toc26577"/>
      <w:bookmarkStart w:id="356" w:name="_Toc142493535"/>
      <w:bookmarkStart w:id="357" w:name="_Toc29124"/>
      <w:bookmarkStart w:id="358" w:name="_Toc108109284"/>
      <w:r>
        <w:rPr>
          <w:lang w:eastAsia="zh-CN"/>
        </w:rPr>
        <w:t>13.1参赛队须知</w:t>
      </w:r>
      <w:bookmarkEnd w:id="352"/>
      <w:bookmarkEnd w:id="353"/>
      <w:bookmarkEnd w:id="354"/>
      <w:bookmarkEnd w:id="355"/>
      <w:bookmarkEnd w:id="356"/>
      <w:bookmarkEnd w:id="357"/>
      <w:bookmarkEnd w:id="358"/>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参赛队名称统一使用规定的地区代表队名称，不使用学校或其他组织、团体名称。本赛项为</w:t>
      </w:r>
      <w:r>
        <w:rPr>
          <w:rFonts w:hint="eastAsia" w:ascii="仿宋_GB2312" w:hAnsi="仿宋_GB2312" w:cs="仿宋_GB2312"/>
          <w:kern w:val="2"/>
          <w:szCs w:val="30"/>
          <w:lang w:val="en-US" w:eastAsia="zh-CN"/>
        </w:rPr>
        <w:t>单</w:t>
      </w:r>
      <w:bookmarkStart w:id="429" w:name="_GoBack"/>
      <w:bookmarkEnd w:id="429"/>
      <w:r>
        <w:rPr>
          <w:rFonts w:hint="eastAsia" w:ascii="仿宋_GB2312" w:hAnsi="仿宋_GB2312" w:cs="仿宋_GB2312"/>
          <w:kern w:val="2"/>
          <w:szCs w:val="30"/>
          <w:lang w:eastAsia="zh-CN"/>
        </w:rPr>
        <w:t>人</w:t>
      </w:r>
      <w:r>
        <w:rPr>
          <w:rFonts w:ascii="仿宋_GB2312" w:hAnsi="仿宋_GB2312" w:cs="仿宋_GB2312"/>
          <w:kern w:val="2"/>
          <w:szCs w:val="30"/>
          <w:lang w:eastAsia="zh-CN"/>
        </w:rPr>
        <w:t>赛。</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（2）</w:t>
      </w:r>
      <w:r>
        <w:rPr>
          <w:rFonts w:ascii="仿宋_GB2312" w:hAnsi="仿宋_GB2312" w:cs="仿宋_GB2312"/>
          <w:kern w:val="2"/>
          <w:szCs w:val="30"/>
          <w:lang w:eastAsia="zh-CN"/>
        </w:rPr>
        <w:t>参赛队员在报名获得审核确认后，原则上不再更换，如筹备过程中，队员因故不能参赛，须由各省人力资源和社会保障局行政部门于相应赛项开赛10个工作日之前出具书面说明，并按相关规定补充人员并接受审核；竞赛开始后，参赛队不得更换参赛队员。</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（3）</w:t>
      </w:r>
      <w:r>
        <w:rPr>
          <w:rFonts w:ascii="仿宋_GB2312" w:hAnsi="仿宋_GB2312" w:cs="仿宋_GB2312"/>
          <w:kern w:val="2"/>
          <w:szCs w:val="30"/>
          <w:lang w:eastAsia="zh-CN"/>
        </w:rPr>
        <w:t>参赛队按照大赛赛程安排，凭大赛组委会颁发的参赛证，以及工作证、学生证、身份证等参加竞赛及相关活动。</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（4）</w:t>
      </w:r>
      <w:r>
        <w:rPr>
          <w:rFonts w:ascii="仿宋_GB2312" w:hAnsi="仿宋_GB2312" w:cs="仿宋_GB2312"/>
          <w:kern w:val="2"/>
          <w:szCs w:val="30"/>
          <w:lang w:eastAsia="zh-CN"/>
        </w:rPr>
        <w:t>各参赛队按竞赛组委会统一安排参加竞赛前熟悉场地环境的活动，未按时参加视同放弃熟悉场地。</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（5）</w:t>
      </w:r>
      <w:r>
        <w:rPr>
          <w:rFonts w:ascii="仿宋_GB2312" w:hAnsi="仿宋_GB2312" w:cs="仿宋_GB2312"/>
          <w:kern w:val="2"/>
          <w:szCs w:val="30"/>
          <w:lang w:eastAsia="zh-CN"/>
        </w:rPr>
        <w:t>各参赛队按组委会统一要求，准时参加赛前领队会。</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（6）</w:t>
      </w:r>
      <w:r>
        <w:rPr>
          <w:rFonts w:ascii="仿宋_GB2312" w:hAnsi="仿宋_GB2312" w:cs="仿宋_GB2312"/>
          <w:kern w:val="2"/>
          <w:szCs w:val="30"/>
          <w:lang w:eastAsia="zh-CN"/>
        </w:rPr>
        <w:t>各参赛队在竞赛期间要注意饮食卫生，防止食物中毒。</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（7）</w:t>
      </w:r>
      <w:r>
        <w:rPr>
          <w:rFonts w:ascii="仿宋_GB2312" w:hAnsi="仿宋_GB2312" w:cs="仿宋_GB2312"/>
          <w:kern w:val="2"/>
          <w:szCs w:val="30"/>
          <w:lang w:eastAsia="zh-CN"/>
        </w:rPr>
        <w:t>各参赛队在竞赛期间，应保证所有人员的安全，防止交通事故</w:t>
      </w:r>
      <w:r>
        <w:rPr>
          <w:rFonts w:hint="eastAsia" w:ascii="仿宋_GB2312" w:hAnsi="仿宋_GB2312" w:cs="仿宋_GB2312"/>
          <w:kern w:val="2"/>
          <w:szCs w:val="30"/>
          <w:lang w:eastAsia="zh-CN"/>
        </w:rPr>
        <w:t>和其他</w:t>
      </w:r>
      <w:r>
        <w:rPr>
          <w:rFonts w:ascii="仿宋_GB2312" w:hAnsi="仿宋_GB2312" w:cs="仿宋_GB2312"/>
          <w:kern w:val="2"/>
          <w:szCs w:val="30"/>
          <w:lang w:eastAsia="zh-CN"/>
        </w:rPr>
        <w:t>意外事故的发生，为领队、教练（指导教师）和参赛选手购买人身意外保险。</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（8）</w:t>
      </w:r>
      <w:r>
        <w:rPr>
          <w:rFonts w:ascii="仿宋_GB2312" w:hAnsi="仿宋_GB2312" w:cs="仿宋_GB2312"/>
          <w:kern w:val="2"/>
          <w:szCs w:val="30"/>
          <w:lang w:eastAsia="zh-CN"/>
        </w:rPr>
        <w:t>各参赛队要发扬良好道德风尚，听从指挥，服从裁判，不弄虚作假。</w:t>
      </w:r>
    </w:p>
    <w:p>
      <w:pPr>
        <w:pStyle w:val="4"/>
        <w:rPr>
          <w:lang w:eastAsia="zh-CN"/>
        </w:rPr>
      </w:pPr>
      <w:bookmarkStart w:id="359" w:name="_Toc108109285"/>
      <w:bookmarkStart w:id="360" w:name="_Toc24492"/>
      <w:bookmarkStart w:id="361" w:name="_TOC_300049"/>
      <w:bookmarkStart w:id="362" w:name="_Toc106539844"/>
      <w:bookmarkStart w:id="363" w:name="_Toc142493536"/>
      <w:bookmarkStart w:id="364" w:name="_Toc107129669"/>
      <w:bookmarkStart w:id="365" w:name="_Toc24939"/>
      <w:r>
        <w:rPr>
          <w:lang w:eastAsia="zh-CN"/>
        </w:rPr>
        <w:t>13.2教练（指导教师）须知</w:t>
      </w:r>
      <w:bookmarkEnd w:id="359"/>
      <w:bookmarkEnd w:id="360"/>
      <w:bookmarkEnd w:id="361"/>
      <w:bookmarkEnd w:id="362"/>
      <w:bookmarkEnd w:id="363"/>
      <w:bookmarkEnd w:id="364"/>
      <w:bookmarkEnd w:id="365"/>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w:t>
      </w:r>
      <w:r>
        <w:rPr>
          <w:rFonts w:ascii="仿宋_GB2312" w:hAnsi="仿宋_GB2312" w:cs="仿宋_GB2312"/>
          <w:kern w:val="2"/>
          <w:szCs w:val="30"/>
          <w:lang w:eastAsia="zh-CN"/>
        </w:rPr>
        <w:t>1</w:t>
      </w:r>
      <w:r>
        <w:rPr>
          <w:rFonts w:hint="eastAsia" w:ascii="仿宋_GB2312" w:hAnsi="仿宋_GB2312" w:cs="仿宋_GB2312"/>
          <w:kern w:val="2"/>
          <w:szCs w:val="30"/>
          <w:lang w:eastAsia="zh-CN"/>
        </w:rPr>
        <w:t>）</w:t>
      </w:r>
      <w:r>
        <w:rPr>
          <w:rFonts w:ascii="仿宋_GB2312" w:hAnsi="仿宋_GB2312" w:cs="仿宋_GB2312"/>
          <w:kern w:val="2"/>
          <w:szCs w:val="30"/>
          <w:lang w:eastAsia="zh-CN"/>
        </w:rPr>
        <w:t>一支参赛队只能配备一名教练（指导教师），一名教练（指导教师）可指导多名选手。教练经报名、审核后确定，一经确定不得更换，如需更换，须由各省人力资源和社会保障局行政部门于相应赛项开赛10个工作日之前出具书面说明并按相关规定补充人员并接受审核；竞赛开始后，参赛队不得更换教练（指导教师）。如发现弄虚作假者，取消评定优秀教练（指导教师）资格。</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（2）</w:t>
      </w:r>
      <w:r>
        <w:rPr>
          <w:rFonts w:ascii="仿宋_GB2312" w:hAnsi="仿宋_GB2312" w:cs="仿宋_GB2312"/>
          <w:kern w:val="2"/>
          <w:szCs w:val="30"/>
          <w:lang w:eastAsia="zh-CN"/>
        </w:rPr>
        <w:t>对申诉的仲裁结果，领队和教练（指导教师）应带头服从和执行，还应说服选手服从和执行。凡恶意申诉，一经查实，全国组委会将</w:t>
      </w:r>
      <w:r>
        <w:rPr>
          <w:rFonts w:hint="eastAsia" w:ascii="仿宋_GB2312" w:hAnsi="仿宋_GB2312" w:cs="仿宋_GB2312"/>
          <w:kern w:val="2"/>
          <w:szCs w:val="30"/>
          <w:lang w:eastAsia="zh-CN"/>
        </w:rPr>
        <w:t>追究</w:t>
      </w:r>
      <w:r>
        <w:rPr>
          <w:rFonts w:ascii="仿宋_GB2312" w:hAnsi="仿宋_GB2312" w:cs="仿宋_GB2312"/>
          <w:kern w:val="2"/>
          <w:szCs w:val="30"/>
          <w:lang w:eastAsia="zh-CN"/>
        </w:rPr>
        <w:t>相关人员责任。</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（3）</w:t>
      </w:r>
      <w:r>
        <w:rPr>
          <w:rFonts w:ascii="仿宋_GB2312" w:hAnsi="仿宋_GB2312" w:cs="仿宋_GB2312"/>
          <w:kern w:val="2"/>
          <w:szCs w:val="30"/>
          <w:lang w:eastAsia="zh-CN"/>
        </w:rPr>
        <w:t>教练（指导教师）应认真研究和掌握本赛项竞赛的技术规则和赛场要求，指导选手做好赛前的一切准备工作。</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（4）</w:t>
      </w:r>
      <w:r>
        <w:rPr>
          <w:rFonts w:ascii="仿宋_GB2312" w:hAnsi="仿宋_GB2312" w:cs="仿宋_GB2312"/>
          <w:kern w:val="2"/>
          <w:szCs w:val="30"/>
          <w:lang w:eastAsia="zh-CN"/>
        </w:rPr>
        <w:t>领队和教练（指导教师）应在赛后做好技术总结和工作总结。</w:t>
      </w:r>
    </w:p>
    <w:p>
      <w:pPr>
        <w:pStyle w:val="4"/>
        <w:rPr>
          <w:lang w:eastAsia="zh-CN"/>
        </w:rPr>
      </w:pPr>
      <w:bookmarkStart w:id="366" w:name="_Toc107129670"/>
      <w:bookmarkStart w:id="367" w:name="_Toc535"/>
      <w:bookmarkStart w:id="368" w:name="_Toc108109286"/>
      <w:bookmarkStart w:id="369" w:name="_TOC_300050"/>
      <w:bookmarkStart w:id="370" w:name="_Toc142493537"/>
      <w:bookmarkStart w:id="371" w:name="_Toc106539845"/>
      <w:bookmarkStart w:id="372" w:name="_Toc32252"/>
      <w:r>
        <w:rPr>
          <w:lang w:eastAsia="zh-CN"/>
        </w:rPr>
        <w:t>13.3参赛选手须知</w:t>
      </w:r>
      <w:bookmarkEnd w:id="366"/>
      <w:bookmarkEnd w:id="367"/>
      <w:bookmarkEnd w:id="368"/>
      <w:bookmarkEnd w:id="369"/>
      <w:bookmarkEnd w:id="370"/>
      <w:bookmarkEnd w:id="371"/>
      <w:bookmarkEnd w:id="372"/>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参赛选手应严格遵守竞赛规则和竞赛纪律，服从裁判员和竞赛工作人员的统一指挥安排，自觉维护赛场秩序，不得因申诉或对处理意见不服而停止竞赛，否则以弃权处理。</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（2）</w:t>
      </w:r>
      <w:r>
        <w:rPr>
          <w:rFonts w:ascii="仿宋_GB2312" w:hAnsi="仿宋_GB2312" w:cs="仿宋_GB2312"/>
          <w:kern w:val="2"/>
          <w:szCs w:val="30"/>
          <w:lang w:eastAsia="zh-CN"/>
        </w:rPr>
        <w:t>参赛选手在赛前熟悉竞赛设备和竞赛时间内，应该严格遵守竞赛设备工艺守则和竞赛设备安全操作规程，杜绝出现安全事故。</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（3）</w:t>
      </w:r>
      <w:r>
        <w:rPr>
          <w:rFonts w:ascii="仿宋_GB2312" w:hAnsi="仿宋_GB2312" w:cs="仿宋_GB2312"/>
          <w:kern w:val="2"/>
          <w:szCs w:val="30"/>
          <w:lang w:eastAsia="zh-CN"/>
        </w:rPr>
        <w:t>参赛选手不得将通信工具、任何技术资料、工具书、自编电子或文字资料、笔记本电脑、摄像工具以及其他即插即用的硬件设备带入比赛现场，否则取消选手比赛资格。</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（4）</w:t>
      </w:r>
      <w:r>
        <w:rPr>
          <w:rFonts w:ascii="仿宋_GB2312" w:hAnsi="仿宋_GB2312" w:cs="仿宋_GB2312"/>
          <w:kern w:val="2"/>
          <w:szCs w:val="30"/>
          <w:lang w:eastAsia="zh-CN"/>
        </w:rPr>
        <w:t>参赛选手应严格按竞赛流程进行竞赛。</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（5）</w:t>
      </w:r>
      <w:r>
        <w:rPr>
          <w:rFonts w:ascii="仿宋_GB2312" w:hAnsi="仿宋_GB2312" w:cs="仿宋_GB2312"/>
          <w:kern w:val="2"/>
          <w:szCs w:val="30"/>
          <w:lang w:eastAsia="zh-CN"/>
        </w:rPr>
        <w:t>参赛选手必须持本人身份证、并佩戴组委会签发的参赛证件，按竞赛规定的时间，到指定的场地参赛。</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（6）</w:t>
      </w:r>
      <w:r>
        <w:rPr>
          <w:rFonts w:ascii="仿宋_GB2312" w:hAnsi="仿宋_GB2312" w:cs="仿宋_GB2312"/>
          <w:kern w:val="2"/>
          <w:szCs w:val="30"/>
          <w:lang w:eastAsia="zh-CN"/>
        </w:rPr>
        <w:t>实际操作竞赛时间为240分钟，参赛选手按照裁判长指令开始、结束竞赛。</w:t>
      </w:r>
    </w:p>
    <w:p>
      <w:pPr>
        <w:autoSpaceDE/>
        <w:autoSpaceDN/>
        <w:ind w:firstLine="560"/>
        <w:rPr>
          <w:rFonts w:cs="Times New Roman"/>
          <w:lang w:eastAsia="zh-CN"/>
        </w:rPr>
      </w:pPr>
      <w:r>
        <w:rPr>
          <w:rFonts w:hint="eastAsia" w:ascii="仿宋_GB2312" w:hAnsi="仿宋_GB2312" w:cs="仿宋_GB2312"/>
          <w:kern w:val="2"/>
          <w:szCs w:val="30"/>
          <w:lang w:eastAsia="zh-CN"/>
        </w:rPr>
        <w:t>（7）</w:t>
      </w:r>
      <w:r>
        <w:rPr>
          <w:rFonts w:ascii="仿宋_GB2312" w:hAnsi="仿宋_GB2312" w:cs="仿宋_GB2312"/>
          <w:kern w:val="2"/>
          <w:szCs w:val="30"/>
          <w:lang w:eastAsia="zh-CN"/>
        </w:rPr>
        <w:t>参赛选手须在赛前60分钟到达赛场进行检录、抽取赛位号，在赛前</w:t>
      </w:r>
      <w:r>
        <w:rPr>
          <w:rFonts w:cs="Times New Roman"/>
          <w:spacing w:val="-3"/>
          <w:lang w:eastAsia="zh-CN"/>
        </w:rPr>
        <w:t>30</w:t>
      </w:r>
      <w:r>
        <w:rPr>
          <w:rFonts w:cs="Times New Roman"/>
          <w:spacing w:val="-5"/>
          <w:lang w:eastAsia="zh-CN"/>
        </w:rPr>
        <w:t>分钟统一入场，进行赛前准备，等候比赛开始指令。</w:t>
      </w:r>
      <w:r>
        <w:rPr>
          <w:rFonts w:cs="Times New Roman"/>
          <w:spacing w:val="5"/>
          <w:lang w:eastAsia="zh-CN"/>
        </w:rPr>
        <w:t>正式竞赛开始尚未检录的选手，不</w:t>
      </w:r>
      <w:r>
        <w:rPr>
          <w:rFonts w:cs="Times New Roman"/>
          <w:spacing w:val="3"/>
          <w:lang w:eastAsia="zh-CN"/>
        </w:rPr>
        <w:t>得参加竞赛。已检录入场的参赛</w:t>
      </w:r>
      <w:r>
        <w:rPr>
          <w:rFonts w:cs="Times New Roman"/>
          <w:spacing w:val="-1"/>
          <w:lang w:eastAsia="zh-CN"/>
        </w:rPr>
        <w:t>选手</w:t>
      </w:r>
      <w:r>
        <w:rPr>
          <w:rFonts w:cs="Times New Roman"/>
          <w:lang w:eastAsia="zh-CN"/>
        </w:rPr>
        <w:t>未经允许，不得擅自离开。</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（8）</w:t>
      </w:r>
      <w:r>
        <w:rPr>
          <w:rFonts w:ascii="仿宋_GB2312" w:hAnsi="仿宋_GB2312" w:cs="仿宋_GB2312"/>
          <w:kern w:val="2"/>
          <w:szCs w:val="30"/>
          <w:lang w:eastAsia="zh-CN"/>
        </w:rPr>
        <w:t>参赛选手按规定进入竞赛工位，在现场工作人员引导下，进行赛前准备，检查并确认竞赛设备、竞赛工位计算机、配套的工具、相关软件等，并签字确认。</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（9）</w:t>
      </w:r>
      <w:r>
        <w:rPr>
          <w:rFonts w:ascii="仿宋_GB2312" w:hAnsi="仿宋_GB2312" w:cs="仿宋_GB2312"/>
          <w:kern w:val="2"/>
          <w:szCs w:val="30"/>
          <w:lang w:eastAsia="zh-CN"/>
        </w:rPr>
        <w:t>裁判长宣布比赛开始，参赛选手方可进行竞赛操作。</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0</w:t>
      </w:r>
      <w:r>
        <w:rPr>
          <w:rFonts w:hint="eastAsia" w:ascii="仿宋_GB2312" w:hAnsi="仿宋_GB2312" w:cs="仿宋_GB2312"/>
          <w:kern w:val="2"/>
          <w:szCs w:val="30"/>
          <w:lang w:eastAsia="zh-CN"/>
        </w:rPr>
        <w:t>）</w:t>
      </w:r>
      <w:r>
        <w:rPr>
          <w:rFonts w:ascii="仿宋_GB2312" w:hAnsi="仿宋_GB2312" w:cs="仿宋_GB2312"/>
          <w:kern w:val="2"/>
          <w:szCs w:val="30"/>
          <w:lang w:eastAsia="zh-CN"/>
        </w:rPr>
        <w:t>参赛选手必须及时备份竞赛中自己的竞赛数据，防止意外断电</w:t>
      </w:r>
      <w:r>
        <w:rPr>
          <w:rFonts w:hint="eastAsia" w:ascii="仿宋_GB2312" w:hAnsi="仿宋_GB2312" w:cs="仿宋_GB2312"/>
          <w:kern w:val="2"/>
          <w:szCs w:val="30"/>
          <w:lang w:eastAsia="zh-CN"/>
        </w:rPr>
        <w:t>及其他</w:t>
      </w:r>
      <w:r>
        <w:rPr>
          <w:rFonts w:ascii="仿宋_GB2312" w:hAnsi="仿宋_GB2312" w:cs="仿宋_GB2312"/>
          <w:kern w:val="2"/>
          <w:szCs w:val="30"/>
          <w:lang w:eastAsia="zh-CN"/>
        </w:rPr>
        <w:t>情况造成程序或资料的丢失。并将全部数据文件存储至计算机指定盘符下，不按要求存储数据，导致数据丢失者，责任自负。</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1</w:t>
      </w:r>
      <w:r>
        <w:rPr>
          <w:rFonts w:hint="eastAsia" w:ascii="仿宋_GB2312" w:hAnsi="仿宋_GB2312" w:cs="仿宋_GB2312"/>
          <w:kern w:val="2"/>
          <w:szCs w:val="30"/>
          <w:lang w:eastAsia="zh-CN"/>
        </w:rPr>
        <w:t>）</w:t>
      </w:r>
      <w:r>
        <w:rPr>
          <w:rFonts w:ascii="仿宋_GB2312" w:hAnsi="仿宋_GB2312" w:cs="仿宋_GB2312"/>
          <w:kern w:val="2"/>
          <w:szCs w:val="30"/>
          <w:lang w:eastAsia="zh-CN"/>
        </w:rPr>
        <w:t>竞赛过程中，选手若需休息、饮水或去洗手间，一律计算在比赛时间内。食品和饮水由赛场统一提供。</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2</w:t>
      </w:r>
      <w:r>
        <w:rPr>
          <w:rFonts w:hint="eastAsia" w:ascii="仿宋_GB2312" w:hAnsi="仿宋_GB2312" w:cs="仿宋_GB2312"/>
          <w:kern w:val="2"/>
          <w:szCs w:val="30"/>
          <w:lang w:eastAsia="zh-CN"/>
        </w:rPr>
        <w:t>）</w:t>
      </w:r>
      <w:r>
        <w:rPr>
          <w:rFonts w:ascii="仿宋_GB2312" w:hAnsi="仿宋_GB2312" w:cs="仿宋_GB2312"/>
          <w:kern w:val="2"/>
          <w:szCs w:val="30"/>
          <w:lang w:eastAsia="zh-CN"/>
        </w:rPr>
        <w:t>竞赛过程中，参赛选手须严格遵守相关操作规程，确保人身及设</w:t>
      </w:r>
      <w:r>
        <w:rPr>
          <w:rFonts w:cs="Times New Roman"/>
          <w:spacing w:val="4"/>
          <w:lang w:eastAsia="zh-CN"/>
        </w:rPr>
        <w:t>备安全，并接受裁判员的监督和警示，若因</w:t>
      </w:r>
      <w:r>
        <w:rPr>
          <w:rFonts w:cs="Times New Roman"/>
          <w:spacing w:val="3"/>
          <w:lang w:eastAsia="zh-CN"/>
        </w:rPr>
        <w:t>选手个人因素</w:t>
      </w:r>
      <w:r>
        <w:rPr>
          <w:rFonts w:cs="Times New Roman"/>
          <w:spacing w:val="4"/>
          <w:lang w:eastAsia="zh-CN"/>
        </w:rPr>
        <w:t>造成人身安全事故和设备故障，不予延时，情节特别</w:t>
      </w:r>
      <w:r>
        <w:rPr>
          <w:rFonts w:cs="Times New Roman"/>
          <w:spacing w:val="3"/>
          <w:lang w:eastAsia="zh-CN"/>
        </w:rPr>
        <w:t>严重者，由裁判长视具体情况</w:t>
      </w:r>
      <w:r>
        <w:rPr>
          <w:rFonts w:hint="eastAsia" w:cs="Times New Roman"/>
          <w:spacing w:val="3"/>
          <w:lang w:eastAsia="zh-CN"/>
        </w:rPr>
        <w:t>作出</w:t>
      </w:r>
      <w:r>
        <w:rPr>
          <w:rFonts w:cs="Times New Roman"/>
          <w:spacing w:val="3"/>
          <w:lang w:eastAsia="zh-CN"/>
        </w:rPr>
        <w:t>处理决定（最高至终止比赛）</w:t>
      </w:r>
      <w:r>
        <w:rPr>
          <w:rFonts w:cs="Times New Roman"/>
          <w:spacing w:val="6"/>
          <w:lang w:eastAsia="zh-CN"/>
        </w:rPr>
        <w:t>并由裁判长</w:t>
      </w:r>
      <w:r>
        <w:rPr>
          <w:rFonts w:cs="Times New Roman"/>
          <w:spacing w:val="5"/>
          <w:lang w:eastAsia="zh-CN"/>
        </w:rPr>
        <w:t>上报</w:t>
      </w:r>
      <w:r>
        <w:rPr>
          <w:rFonts w:cs="Times New Roman"/>
          <w:spacing w:val="4"/>
          <w:lang w:eastAsia="zh-CN"/>
        </w:rPr>
        <w:t>大赛监督仲裁组；若</w:t>
      </w:r>
      <w:r>
        <w:rPr>
          <w:rFonts w:ascii="仿宋_GB2312" w:hAnsi="仿宋_GB2312" w:cs="仿宋_GB2312"/>
          <w:kern w:val="2"/>
          <w:szCs w:val="30"/>
          <w:lang w:eastAsia="zh-CN"/>
        </w:rPr>
        <w:t>因非选手个人因素造成设备故障，由大赛裁判组视具体情况做出延时处理并由裁判长上报竞赛监督仲裁组。</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3</w:t>
      </w:r>
      <w:r>
        <w:rPr>
          <w:rFonts w:hint="eastAsia" w:ascii="仿宋_GB2312" w:hAnsi="仿宋_GB2312" w:cs="仿宋_GB2312"/>
          <w:kern w:val="2"/>
          <w:szCs w:val="30"/>
          <w:lang w:eastAsia="zh-CN"/>
        </w:rPr>
        <w:t>）</w:t>
      </w:r>
      <w:r>
        <w:rPr>
          <w:rFonts w:ascii="仿宋_GB2312" w:hAnsi="仿宋_GB2312" w:cs="仿宋_GB2312"/>
          <w:kern w:val="2"/>
          <w:szCs w:val="30"/>
          <w:lang w:eastAsia="zh-CN"/>
        </w:rPr>
        <w:t>参赛选手在竞赛过程中不得擅自离开赛场，如有特殊情况，需经裁判员同意后，特殊处理。</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4</w:t>
      </w:r>
      <w:r>
        <w:rPr>
          <w:rFonts w:hint="eastAsia" w:ascii="仿宋_GB2312" w:hAnsi="仿宋_GB2312" w:cs="仿宋_GB2312"/>
          <w:kern w:val="2"/>
          <w:szCs w:val="30"/>
          <w:lang w:eastAsia="zh-CN"/>
        </w:rPr>
        <w:t>）</w:t>
      </w:r>
      <w:r>
        <w:rPr>
          <w:rFonts w:ascii="仿宋_GB2312" w:hAnsi="仿宋_GB2312" w:cs="仿宋_GB2312"/>
          <w:kern w:val="2"/>
          <w:szCs w:val="30"/>
          <w:lang w:eastAsia="zh-CN"/>
        </w:rPr>
        <w:t>参赛选手在竞赛过程中，如遇问题，需举手向裁判</w:t>
      </w:r>
      <w:r>
        <w:rPr>
          <w:rFonts w:hint="eastAsia" w:ascii="仿宋_GB2312" w:hAnsi="仿宋_GB2312" w:cs="仿宋_GB2312"/>
          <w:kern w:val="2"/>
          <w:szCs w:val="30"/>
          <w:lang w:eastAsia="zh-CN"/>
        </w:rPr>
        <w:t>员</w:t>
      </w:r>
      <w:r>
        <w:rPr>
          <w:rFonts w:ascii="仿宋_GB2312" w:hAnsi="仿宋_GB2312" w:cs="仿宋_GB2312"/>
          <w:kern w:val="2"/>
          <w:szCs w:val="30"/>
          <w:lang w:eastAsia="zh-CN"/>
        </w:rPr>
        <w:t>提问。选手之间不得发生任何交流，否则，按作弊处理。</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5</w:t>
      </w:r>
      <w:r>
        <w:rPr>
          <w:rFonts w:hint="eastAsia" w:ascii="仿宋_GB2312" w:hAnsi="仿宋_GB2312" w:cs="仿宋_GB2312"/>
          <w:kern w:val="2"/>
          <w:szCs w:val="30"/>
          <w:lang w:eastAsia="zh-CN"/>
        </w:rPr>
        <w:t>）</w:t>
      </w:r>
      <w:r>
        <w:rPr>
          <w:rFonts w:ascii="仿宋_GB2312" w:hAnsi="仿宋_GB2312" w:cs="仿宋_GB2312"/>
          <w:kern w:val="2"/>
          <w:szCs w:val="30"/>
          <w:lang w:eastAsia="zh-CN"/>
        </w:rPr>
        <w:t>参赛选手在竞赛过程中，</w:t>
      </w:r>
      <w:r>
        <w:rPr>
          <w:rFonts w:hint="eastAsia" w:ascii="仿宋_GB2312" w:hAnsi="仿宋_GB2312" w:cs="仿宋_GB2312"/>
          <w:kern w:val="2"/>
          <w:szCs w:val="30"/>
          <w:lang w:eastAsia="zh-CN"/>
        </w:rPr>
        <w:t>不得携带非大赛提供的电子存储设备。</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6</w:t>
      </w:r>
      <w:r>
        <w:rPr>
          <w:rFonts w:hint="eastAsia" w:ascii="仿宋_GB2312" w:hAnsi="仿宋_GB2312" w:cs="仿宋_GB2312"/>
          <w:kern w:val="2"/>
          <w:szCs w:val="30"/>
          <w:lang w:eastAsia="zh-CN"/>
        </w:rPr>
        <w:t>）</w:t>
      </w:r>
      <w:r>
        <w:rPr>
          <w:rFonts w:ascii="仿宋_GB2312" w:hAnsi="仿宋_GB2312" w:cs="仿宋_GB2312"/>
          <w:kern w:val="2"/>
          <w:szCs w:val="30"/>
          <w:lang w:eastAsia="zh-CN"/>
        </w:rPr>
        <w:t>参赛选手在操作技能竞赛过程中，必须戴安全帽（女选手长发不得外露）、穿工作服、防砸防刺穿劳保工作鞋。</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7</w:t>
      </w:r>
      <w:r>
        <w:rPr>
          <w:rFonts w:hint="eastAsia" w:ascii="仿宋_GB2312" w:hAnsi="仿宋_GB2312" w:cs="仿宋_GB2312"/>
          <w:kern w:val="2"/>
          <w:szCs w:val="30"/>
          <w:lang w:eastAsia="zh-CN"/>
        </w:rPr>
        <w:t>）</w:t>
      </w:r>
      <w:r>
        <w:rPr>
          <w:rFonts w:ascii="仿宋_GB2312" w:hAnsi="仿宋_GB2312" w:cs="仿宋_GB2312"/>
          <w:kern w:val="2"/>
          <w:szCs w:val="30"/>
          <w:lang w:eastAsia="zh-CN"/>
        </w:rPr>
        <w:t>竞赛过程中需要裁判验收的各项任务，任务完成后裁判只验收1次，</w:t>
      </w:r>
      <w:r>
        <w:rPr>
          <w:rFonts w:hint="eastAsia" w:ascii="仿宋_GB2312" w:hAnsi="仿宋_GB2312" w:cs="仿宋_GB2312"/>
          <w:kern w:val="2"/>
          <w:szCs w:val="30"/>
          <w:lang w:eastAsia="zh-CN"/>
        </w:rPr>
        <w:t>参赛选手应</w:t>
      </w:r>
      <w:r>
        <w:rPr>
          <w:rFonts w:ascii="仿宋_GB2312" w:hAnsi="仿宋_GB2312" w:cs="仿宋_GB2312"/>
          <w:kern w:val="2"/>
          <w:szCs w:val="30"/>
          <w:lang w:eastAsia="zh-CN"/>
        </w:rPr>
        <w:t>根据赛题说明，确认完成后再提请裁判验收。</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8</w:t>
      </w:r>
      <w:r>
        <w:rPr>
          <w:rFonts w:hint="eastAsia" w:ascii="仿宋_GB2312" w:hAnsi="仿宋_GB2312" w:cs="仿宋_GB2312"/>
          <w:kern w:val="2"/>
          <w:szCs w:val="30"/>
          <w:lang w:eastAsia="zh-CN"/>
        </w:rPr>
        <w:t>）</w:t>
      </w:r>
      <w:r>
        <w:rPr>
          <w:rFonts w:ascii="仿宋_GB2312" w:hAnsi="仿宋_GB2312" w:cs="仿宋_GB2312"/>
          <w:kern w:val="2"/>
          <w:szCs w:val="30"/>
          <w:lang w:eastAsia="zh-CN"/>
        </w:rPr>
        <w:t>裁判长在比赛结束前15分钟对选手</w:t>
      </w:r>
      <w:r>
        <w:rPr>
          <w:rFonts w:hint="eastAsia" w:ascii="仿宋_GB2312" w:hAnsi="仿宋_GB2312" w:cs="仿宋_GB2312"/>
          <w:kern w:val="2"/>
          <w:szCs w:val="30"/>
          <w:lang w:eastAsia="zh-CN"/>
        </w:rPr>
        <w:t>作出</w:t>
      </w:r>
      <w:r>
        <w:rPr>
          <w:rFonts w:ascii="仿宋_GB2312" w:hAnsi="仿宋_GB2312" w:cs="仿宋_GB2312"/>
          <w:kern w:val="2"/>
          <w:szCs w:val="30"/>
          <w:lang w:eastAsia="zh-CN"/>
        </w:rPr>
        <w:t>提示。裁判长宣布比赛</w:t>
      </w:r>
      <w:r>
        <w:rPr>
          <w:rFonts w:cs="Times New Roman"/>
          <w:spacing w:val="4"/>
          <w:lang w:eastAsia="zh-CN"/>
        </w:rPr>
        <w:t>结束后，选手应立即停止竞赛操作，并按下</w:t>
      </w:r>
      <w:r>
        <w:rPr>
          <w:rFonts w:cs="Times New Roman"/>
          <w:spacing w:val="3"/>
          <w:lang w:eastAsia="zh-CN"/>
        </w:rPr>
        <w:t>竞赛设备停止</w:t>
      </w:r>
      <w:r>
        <w:rPr>
          <w:rFonts w:cs="Times New Roman"/>
          <w:spacing w:val="4"/>
          <w:lang w:eastAsia="zh-CN"/>
        </w:rPr>
        <w:t>键，现场裁判员监督竞赛设备的停止，在规定时间内</w:t>
      </w:r>
      <w:r>
        <w:rPr>
          <w:rFonts w:cs="Times New Roman"/>
          <w:spacing w:val="3"/>
          <w:lang w:eastAsia="zh-CN"/>
        </w:rPr>
        <w:t>必须把竞赛赛题、</w:t>
      </w:r>
      <w:r>
        <w:rPr>
          <w:rFonts w:cs="Times New Roman"/>
          <w:spacing w:val="4"/>
          <w:lang w:eastAsia="zh-CN"/>
        </w:rPr>
        <w:t>图纸、草稿纸等所有相关</w:t>
      </w:r>
      <w:r>
        <w:rPr>
          <w:rFonts w:hint="eastAsia" w:cs="Times New Roman"/>
          <w:spacing w:val="4"/>
          <w:lang w:eastAsia="zh-CN"/>
        </w:rPr>
        <w:t>资料</w:t>
      </w:r>
      <w:r>
        <w:rPr>
          <w:rFonts w:cs="Times New Roman"/>
          <w:spacing w:val="4"/>
          <w:lang w:eastAsia="zh-CN"/>
        </w:rPr>
        <w:t>上交至现场裁判员，如</w:t>
      </w:r>
      <w:r>
        <w:rPr>
          <w:rFonts w:cs="Times New Roman"/>
          <w:spacing w:val="3"/>
          <w:lang w:eastAsia="zh-CN"/>
        </w:rPr>
        <w:t>选手未按</w:t>
      </w:r>
      <w:r>
        <w:rPr>
          <w:rFonts w:cs="Times New Roman"/>
          <w:spacing w:val="-1"/>
          <w:lang w:eastAsia="zh-CN"/>
        </w:rPr>
        <w:t>规定</w:t>
      </w:r>
      <w:r>
        <w:rPr>
          <w:rFonts w:cs="Times New Roman"/>
          <w:lang w:eastAsia="zh-CN"/>
        </w:rPr>
        <w:t>执行，裁</w:t>
      </w:r>
      <w:r>
        <w:rPr>
          <w:rFonts w:ascii="仿宋_GB2312" w:hAnsi="仿宋_GB2312" w:cs="仿宋_GB2312"/>
          <w:kern w:val="2"/>
          <w:szCs w:val="30"/>
          <w:lang w:eastAsia="zh-CN"/>
        </w:rPr>
        <w:t>判有权按下竞赛设备停止键，要求选手至指定位置。</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9</w:t>
      </w:r>
      <w:r>
        <w:rPr>
          <w:rFonts w:hint="eastAsia" w:ascii="仿宋_GB2312" w:hAnsi="仿宋_GB2312" w:cs="仿宋_GB2312"/>
          <w:kern w:val="2"/>
          <w:szCs w:val="30"/>
          <w:lang w:eastAsia="zh-CN"/>
        </w:rPr>
        <w:t>）</w:t>
      </w:r>
      <w:r>
        <w:rPr>
          <w:rFonts w:ascii="仿宋_GB2312" w:hAnsi="仿宋_GB2312" w:cs="仿宋_GB2312"/>
          <w:kern w:val="2"/>
          <w:szCs w:val="30"/>
          <w:lang w:eastAsia="zh-CN"/>
        </w:rPr>
        <w:t>竞赛结束后，由现场裁判员和选手检查确认提交的</w:t>
      </w:r>
      <w:r>
        <w:rPr>
          <w:rFonts w:hint="eastAsia" w:ascii="仿宋_GB2312" w:hAnsi="仿宋_GB2312" w:cs="仿宋_GB2312"/>
          <w:kern w:val="2"/>
          <w:szCs w:val="30"/>
          <w:lang w:eastAsia="zh-CN"/>
        </w:rPr>
        <w:t>资料</w:t>
      </w:r>
      <w:r>
        <w:rPr>
          <w:rFonts w:ascii="仿宋_GB2312" w:hAnsi="仿宋_GB2312" w:cs="仿宋_GB2312"/>
          <w:kern w:val="2"/>
          <w:szCs w:val="30"/>
          <w:lang w:eastAsia="zh-CN"/>
        </w:rPr>
        <w:t>，选手、现场裁判员签字确认。</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（2</w:t>
      </w:r>
      <w:r>
        <w:rPr>
          <w:rFonts w:ascii="仿宋_GB2312" w:hAnsi="仿宋_GB2312" w:cs="仿宋_GB2312"/>
          <w:kern w:val="2"/>
          <w:szCs w:val="30"/>
          <w:lang w:eastAsia="zh-CN"/>
        </w:rPr>
        <w:t>0</w:t>
      </w:r>
      <w:r>
        <w:rPr>
          <w:rFonts w:hint="eastAsia" w:ascii="仿宋_GB2312" w:hAnsi="仿宋_GB2312" w:cs="仿宋_GB2312"/>
          <w:kern w:val="2"/>
          <w:szCs w:val="30"/>
          <w:lang w:eastAsia="zh-CN"/>
        </w:rPr>
        <w:t>）</w:t>
      </w:r>
      <w:r>
        <w:rPr>
          <w:rFonts w:ascii="仿宋_GB2312" w:hAnsi="仿宋_GB2312" w:cs="仿宋_GB2312"/>
          <w:kern w:val="2"/>
          <w:szCs w:val="30"/>
          <w:lang w:eastAsia="zh-CN"/>
        </w:rPr>
        <w:t>比赛结束，选手应立即清理现场，包括竞赛设备及周边卫生并恢复竞赛设备原始状态等。经现场裁判员和现场工作人员确认后方可离开工位。经裁判长统一确认后，选手统一离开赛场。此项工作将在选手职业素养环节进行评判。</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（2</w:t>
      </w:r>
      <w:r>
        <w:rPr>
          <w:rFonts w:ascii="仿宋_GB2312" w:hAnsi="仿宋_GB2312" w:cs="仿宋_GB2312"/>
          <w:kern w:val="2"/>
          <w:szCs w:val="30"/>
          <w:lang w:eastAsia="zh-CN"/>
        </w:rPr>
        <w:t>1</w:t>
      </w:r>
      <w:r>
        <w:rPr>
          <w:rFonts w:hint="eastAsia" w:ascii="仿宋_GB2312" w:hAnsi="仿宋_GB2312" w:cs="仿宋_GB2312"/>
          <w:kern w:val="2"/>
          <w:szCs w:val="30"/>
          <w:lang w:eastAsia="zh-CN"/>
        </w:rPr>
        <w:t>）</w:t>
      </w:r>
      <w:r>
        <w:rPr>
          <w:rFonts w:ascii="仿宋_GB2312" w:hAnsi="仿宋_GB2312" w:cs="仿宋_GB2312"/>
          <w:kern w:val="2"/>
          <w:szCs w:val="30"/>
          <w:lang w:eastAsia="zh-CN"/>
        </w:rPr>
        <w:t>参赛选手在竞赛期间未经组委会的批准，不得接受其他单位和个人进行的与竞赛内容相关的采访；参赛选手不得私自公开比赛相关资料。</w:t>
      </w:r>
    </w:p>
    <w:p>
      <w:pPr>
        <w:pStyle w:val="4"/>
        <w:rPr>
          <w:lang w:eastAsia="zh-CN"/>
        </w:rPr>
      </w:pPr>
      <w:bookmarkStart w:id="373" w:name="_Toc106539846"/>
      <w:bookmarkStart w:id="374" w:name="_Toc108109287"/>
      <w:bookmarkStart w:id="375" w:name="_TOC_300051"/>
      <w:bookmarkStart w:id="376" w:name="_Toc107129671"/>
      <w:bookmarkStart w:id="377" w:name="_Toc142493538"/>
      <w:bookmarkStart w:id="378" w:name="_Toc32538"/>
      <w:bookmarkStart w:id="379" w:name="_Toc15515"/>
      <w:r>
        <w:rPr>
          <w:lang w:eastAsia="zh-CN"/>
        </w:rPr>
        <w:t>13.4工作人员须知</w:t>
      </w:r>
      <w:bookmarkEnd w:id="373"/>
      <w:bookmarkEnd w:id="374"/>
      <w:bookmarkEnd w:id="375"/>
      <w:bookmarkEnd w:id="376"/>
      <w:bookmarkEnd w:id="377"/>
      <w:bookmarkEnd w:id="378"/>
      <w:bookmarkEnd w:id="379"/>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工作人员必须服从赛项组委会统一指挥，佩戴工作人员标识，认真履行职责，做好竞赛服务工作。</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（2）</w:t>
      </w:r>
      <w:r>
        <w:rPr>
          <w:rFonts w:ascii="仿宋_GB2312" w:hAnsi="仿宋_GB2312" w:cs="仿宋_GB2312"/>
          <w:kern w:val="2"/>
          <w:szCs w:val="30"/>
          <w:lang w:eastAsia="zh-CN"/>
        </w:rPr>
        <w:t>工作人员按照分工准时上岗，不得擅自离岗，应认真履行各自的工作职责，保证竞赛工作的顺利进行。</w:t>
      </w:r>
    </w:p>
    <w:p>
      <w:pPr>
        <w:autoSpaceDE/>
        <w:autoSpaceDN/>
        <w:ind w:firstLine="560"/>
        <w:rPr>
          <w:rFonts w:cs="Times New Roman"/>
          <w:lang w:eastAsia="zh-CN"/>
        </w:rPr>
      </w:pPr>
      <w:r>
        <w:rPr>
          <w:rFonts w:hint="eastAsia" w:ascii="仿宋_GB2312" w:hAnsi="仿宋_GB2312" w:cs="仿宋_GB2312"/>
          <w:kern w:val="2"/>
          <w:szCs w:val="30"/>
          <w:lang w:eastAsia="zh-CN"/>
        </w:rPr>
        <w:t>（3）</w:t>
      </w:r>
      <w:r>
        <w:rPr>
          <w:rFonts w:ascii="仿宋_GB2312" w:hAnsi="仿宋_GB2312" w:cs="仿宋_GB2312"/>
          <w:kern w:val="2"/>
          <w:szCs w:val="30"/>
          <w:lang w:eastAsia="zh-CN"/>
        </w:rPr>
        <w:t>工作人员应在规定的区域内工作，未经许可，不得擅自进入竞赛</w:t>
      </w:r>
      <w:r>
        <w:rPr>
          <w:rFonts w:cs="Times New Roman"/>
          <w:spacing w:val="4"/>
          <w:lang w:eastAsia="zh-CN"/>
        </w:rPr>
        <w:t>场地。如需进场，需经过裁判长同意，核准</w:t>
      </w:r>
      <w:r>
        <w:rPr>
          <w:rFonts w:cs="Times New Roman"/>
          <w:spacing w:val="3"/>
          <w:lang w:eastAsia="zh-CN"/>
        </w:rPr>
        <w:t>证件，有裁判</w:t>
      </w:r>
      <w:r>
        <w:rPr>
          <w:rFonts w:cs="Times New Roman"/>
          <w:spacing w:val="-1"/>
          <w:lang w:eastAsia="zh-CN"/>
        </w:rPr>
        <w:t>跟随</w:t>
      </w:r>
      <w:r>
        <w:rPr>
          <w:rFonts w:cs="Times New Roman"/>
          <w:lang w:eastAsia="zh-CN"/>
        </w:rPr>
        <w:t>入场。</w:t>
      </w:r>
    </w:p>
    <w:p>
      <w:pPr>
        <w:autoSpaceDE/>
        <w:autoSpaceDN/>
        <w:ind w:firstLine="560"/>
        <w:rPr>
          <w:rFonts w:cs="Times New Roman"/>
          <w:lang w:eastAsia="zh-CN"/>
        </w:rPr>
      </w:pPr>
      <w:r>
        <w:rPr>
          <w:rFonts w:hint="eastAsia" w:ascii="仿宋_GB2312" w:hAnsi="仿宋_GB2312" w:cs="仿宋_GB2312"/>
          <w:kern w:val="2"/>
          <w:szCs w:val="30"/>
          <w:lang w:eastAsia="zh-CN"/>
        </w:rPr>
        <w:t>（4）</w:t>
      </w:r>
      <w:r>
        <w:rPr>
          <w:rFonts w:ascii="仿宋_GB2312" w:hAnsi="仿宋_GB2312" w:cs="仿宋_GB2312"/>
          <w:kern w:val="2"/>
          <w:szCs w:val="30"/>
          <w:lang w:eastAsia="zh-CN"/>
        </w:rPr>
        <w:t>如遇突发事件，须及时向裁判员报告，同时做好疏导工作，避免重大事故发生。</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（5）</w:t>
      </w:r>
      <w:r>
        <w:rPr>
          <w:rFonts w:ascii="仿宋_GB2312" w:hAnsi="仿宋_GB2312" w:cs="仿宋_GB2312"/>
          <w:kern w:val="2"/>
          <w:szCs w:val="30"/>
          <w:lang w:eastAsia="zh-CN"/>
        </w:rPr>
        <w:t>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（6）</w:t>
      </w:r>
      <w:r>
        <w:rPr>
          <w:rFonts w:ascii="仿宋_GB2312" w:hAnsi="仿宋_GB2312" w:cs="仿宋_GB2312"/>
          <w:kern w:val="2"/>
          <w:szCs w:val="30"/>
          <w:lang w:eastAsia="zh-CN"/>
        </w:rPr>
        <w:t>各类赛务人员必须统一佩戴由大赛组委会签发的相关证件，着装整齐。</w:t>
      </w:r>
    </w:p>
    <w:p>
      <w:pPr>
        <w:autoSpaceDE/>
        <w:autoSpaceDN/>
        <w:ind w:firstLine="560"/>
        <w:rPr>
          <w:rFonts w:cs="Times New Roman"/>
          <w:lang w:eastAsia="zh-CN"/>
        </w:rPr>
      </w:pPr>
      <w:r>
        <w:rPr>
          <w:rFonts w:hint="eastAsia" w:ascii="仿宋_GB2312" w:hAnsi="仿宋_GB2312" w:cs="仿宋_GB2312"/>
          <w:kern w:val="2"/>
          <w:szCs w:val="30"/>
          <w:lang w:eastAsia="zh-CN"/>
        </w:rPr>
        <w:t>（7）</w:t>
      </w:r>
      <w:r>
        <w:rPr>
          <w:rFonts w:ascii="仿宋_GB2312" w:hAnsi="仿宋_GB2312" w:cs="仿宋_GB2312"/>
          <w:kern w:val="2"/>
          <w:szCs w:val="30"/>
          <w:lang w:eastAsia="zh-CN"/>
        </w:rPr>
        <w:t>除现场裁判员和参赛选手外，其他人员不得进入竞赛区域。赛场</w:t>
      </w:r>
      <w:r>
        <w:rPr>
          <w:rFonts w:cs="Times New Roman"/>
          <w:spacing w:val="3"/>
          <w:lang w:eastAsia="zh-CN"/>
        </w:rPr>
        <w:t>安全员、</w:t>
      </w:r>
      <w:r>
        <w:rPr>
          <w:rFonts w:cs="Times New Roman"/>
          <w:spacing w:val="5"/>
          <w:lang w:eastAsia="zh-CN"/>
        </w:rPr>
        <w:t>设备</w:t>
      </w:r>
      <w:r>
        <w:rPr>
          <w:rFonts w:cs="Times New Roman"/>
          <w:spacing w:val="4"/>
          <w:lang w:eastAsia="zh-CN"/>
        </w:rPr>
        <w:t>和软件技术支持人员、工作人员必须在指定区域等待，未经裁判长允许不得进入竞赛区</w:t>
      </w:r>
      <w:r>
        <w:rPr>
          <w:rFonts w:cs="Times New Roman"/>
          <w:spacing w:val="3"/>
          <w:lang w:eastAsia="zh-CN"/>
        </w:rPr>
        <w:t>域，候场选手不得进入</w:t>
      </w:r>
      <w:r>
        <w:rPr>
          <w:rFonts w:cs="Times New Roman"/>
          <w:spacing w:val="-1"/>
          <w:lang w:eastAsia="zh-CN"/>
        </w:rPr>
        <w:t>赛场。</w:t>
      </w:r>
    </w:p>
    <w:p>
      <w:pPr>
        <w:pStyle w:val="4"/>
        <w:rPr>
          <w:lang w:eastAsia="zh-CN"/>
        </w:rPr>
      </w:pPr>
      <w:bookmarkStart w:id="380" w:name="_Toc108109288"/>
      <w:bookmarkStart w:id="381" w:name="_Toc24191"/>
      <w:bookmarkStart w:id="382" w:name="_Toc13619"/>
      <w:bookmarkStart w:id="383" w:name="_Toc107129672"/>
      <w:bookmarkStart w:id="384" w:name="_Toc142493539"/>
      <w:bookmarkStart w:id="385" w:name="_TOC_300052"/>
      <w:bookmarkStart w:id="386" w:name="_Toc106539847"/>
      <w:r>
        <w:rPr>
          <w:lang w:eastAsia="zh-CN"/>
        </w:rPr>
        <w:t>13.5裁判员须知</w:t>
      </w:r>
      <w:bookmarkEnd w:id="380"/>
      <w:bookmarkEnd w:id="381"/>
      <w:bookmarkEnd w:id="382"/>
      <w:bookmarkEnd w:id="383"/>
      <w:bookmarkEnd w:id="384"/>
      <w:bookmarkEnd w:id="385"/>
      <w:bookmarkEnd w:id="386"/>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裁判员须</w:t>
      </w:r>
      <w:r>
        <w:rPr>
          <w:rFonts w:hint="eastAsia" w:ascii="仿宋_GB2312" w:hAnsi="仿宋_GB2312" w:cs="仿宋_GB2312"/>
          <w:kern w:val="2"/>
          <w:szCs w:val="30"/>
          <w:lang w:eastAsia="zh-CN"/>
        </w:rPr>
        <w:t>佩戴</w:t>
      </w:r>
      <w:r>
        <w:rPr>
          <w:rFonts w:ascii="仿宋_GB2312" w:hAnsi="仿宋_GB2312" w:cs="仿宋_GB2312"/>
          <w:kern w:val="2"/>
          <w:szCs w:val="30"/>
          <w:lang w:eastAsia="zh-CN"/>
        </w:rPr>
        <w:t>裁判员标识上岗。执裁期间，统一着装，举止文明礼貌，接受参赛人员的监督。</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（2）</w:t>
      </w:r>
      <w:r>
        <w:rPr>
          <w:rFonts w:ascii="仿宋_GB2312" w:hAnsi="仿宋_GB2312" w:cs="仿宋_GB2312"/>
          <w:kern w:val="2"/>
          <w:szCs w:val="30"/>
          <w:lang w:eastAsia="zh-CN"/>
        </w:rPr>
        <w:t>严守竞赛纪律，</w:t>
      </w:r>
      <w:r>
        <w:rPr>
          <w:rFonts w:hint="eastAsia" w:ascii="仿宋_GB2312" w:hAnsi="仿宋_GB2312" w:cs="仿宋_GB2312"/>
          <w:kern w:val="2"/>
          <w:szCs w:val="30"/>
          <w:lang w:eastAsia="zh-CN"/>
        </w:rPr>
        <w:t>履行</w:t>
      </w:r>
      <w:r>
        <w:rPr>
          <w:rFonts w:ascii="仿宋_GB2312" w:hAnsi="仿宋_GB2312" w:cs="仿宋_GB2312"/>
          <w:kern w:val="2"/>
          <w:szCs w:val="30"/>
          <w:lang w:eastAsia="zh-CN"/>
        </w:rPr>
        <w:t>竞赛规则，服从赛项组委会和裁判长的领导。按照分工开展工作，始终坚守工作岗位，不得擅自离岗。</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（3）</w:t>
      </w:r>
      <w:r>
        <w:rPr>
          <w:rFonts w:ascii="仿宋_GB2312" w:hAnsi="仿宋_GB2312" w:cs="仿宋_GB2312"/>
          <w:kern w:val="2"/>
          <w:szCs w:val="30"/>
          <w:lang w:eastAsia="zh-CN"/>
        </w:rPr>
        <w:t>裁判员的工作分为加密裁判、现场执裁、评判裁判等。</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（4）</w:t>
      </w:r>
      <w:r>
        <w:rPr>
          <w:rFonts w:ascii="仿宋_GB2312" w:hAnsi="仿宋_GB2312" w:cs="仿宋_GB2312"/>
          <w:kern w:val="2"/>
          <w:szCs w:val="30"/>
          <w:lang w:eastAsia="zh-CN"/>
        </w:rPr>
        <w:t>裁判员在工作期间严禁使用各种器材进行摄像或照相。</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（5）</w:t>
      </w:r>
      <w:r>
        <w:rPr>
          <w:rFonts w:ascii="仿宋_GB2312" w:hAnsi="仿宋_GB2312" w:cs="仿宋_GB2312"/>
          <w:kern w:val="2"/>
          <w:szCs w:val="30"/>
          <w:lang w:eastAsia="zh-CN"/>
        </w:rPr>
        <w:t>现场执裁的裁判员负责检查选手携带的物品，违规物品一律清出赛场，比赛结束后裁判员要命令选手停止竞赛操作。</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w:t>
      </w:r>
      <w:r>
        <w:rPr>
          <w:rFonts w:ascii="仿宋_GB2312" w:hAnsi="仿宋_GB2312" w:cs="仿宋_GB2312"/>
          <w:kern w:val="2"/>
          <w:szCs w:val="30"/>
          <w:lang w:eastAsia="zh-CN"/>
        </w:rPr>
        <w:t>6</w:t>
      </w:r>
      <w:r>
        <w:rPr>
          <w:rFonts w:hint="eastAsia" w:ascii="仿宋_GB2312" w:hAnsi="仿宋_GB2312" w:cs="仿宋_GB2312"/>
          <w:kern w:val="2"/>
          <w:szCs w:val="30"/>
          <w:lang w:eastAsia="zh-CN"/>
        </w:rPr>
        <w:t>）</w:t>
      </w:r>
      <w:r>
        <w:rPr>
          <w:rFonts w:ascii="仿宋_GB2312" w:hAnsi="仿宋_GB2312" w:cs="仿宋_GB2312"/>
          <w:kern w:val="2"/>
          <w:szCs w:val="30"/>
          <w:lang w:eastAsia="zh-CN"/>
        </w:rPr>
        <w:t>竞赛中所有裁判员不得影响选手正常竞赛。</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（7）</w:t>
      </w:r>
      <w:r>
        <w:rPr>
          <w:rFonts w:ascii="仿宋_GB2312" w:hAnsi="仿宋_GB2312" w:cs="仿宋_GB2312"/>
          <w:kern w:val="2"/>
          <w:szCs w:val="30"/>
          <w:lang w:eastAsia="zh-CN"/>
        </w:rPr>
        <w:t>严格执行赛场纪律，不得向参赛选手暗示或解答与竞赛有关的内</w:t>
      </w:r>
      <w:r>
        <w:rPr>
          <w:rFonts w:cs="Times New Roman"/>
          <w:spacing w:val="4"/>
          <w:lang w:eastAsia="zh-CN"/>
        </w:rPr>
        <w:t>容。及时制止选手的违纪行为。对裁判工作</w:t>
      </w:r>
      <w:r>
        <w:rPr>
          <w:rFonts w:cs="Times New Roman"/>
          <w:spacing w:val="3"/>
          <w:lang w:eastAsia="zh-CN"/>
        </w:rPr>
        <w:t>中有争议的技</w:t>
      </w:r>
      <w:r>
        <w:rPr>
          <w:rFonts w:cs="Times New Roman"/>
          <w:lang w:eastAsia="zh-CN"/>
        </w:rPr>
        <w:t>术问题、</w:t>
      </w:r>
      <w:r>
        <w:rPr>
          <w:rFonts w:ascii="仿宋_GB2312" w:hAnsi="仿宋_GB2312" w:cs="仿宋_GB2312"/>
          <w:kern w:val="2"/>
          <w:szCs w:val="30"/>
          <w:lang w:eastAsia="zh-CN"/>
        </w:rPr>
        <w:t>突发事件要及时处理、妥善解决，并及时向裁判长汇报。</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（8）</w:t>
      </w:r>
      <w:r>
        <w:rPr>
          <w:rFonts w:ascii="仿宋_GB2312" w:hAnsi="仿宋_GB2312" w:cs="仿宋_GB2312"/>
          <w:kern w:val="2"/>
          <w:szCs w:val="30"/>
          <w:lang w:eastAsia="zh-CN"/>
        </w:rPr>
        <w:t>要提醒选手注意操作安全，对于选手的违规操作或有可能引发</w:t>
      </w:r>
      <w:r>
        <w:rPr>
          <w:rFonts w:hint="eastAsia" w:ascii="仿宋_GB2312" w:hAnsi="仿宋_GB2312" w:cs="仿宋_GB2312"/>
          <w:kern w:val="2"/>
          <w:szCs w:val="30"/>
          <w:lang w:eastAsia="zh-CN"/>
        </w:rPr>
        <w:t>人身伤害</w:t>
      </w:r>
      <w:r>
        <w:rPr>
          <w:rFonts w:ascii="仿宋_GB2312" w:hAnsi="仿宋_GB2312" w:cs="仿宋_GB2312"/>
          <w:kern w:val="2"/>
          <w:szCs w:val="30"/>
          <w:lang w:eastAsia="zh-CN"/>
        </w:rPr>
        <w:t>、设备损坏等事故的行为，应立即制止并向现场负责人报告。</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（9）</w:t>
      </w:r>
      <w:r>
        <w:rPr>
          <w:rFonts w:ascii="仿宋_GB2312" w:hAnsi="仿宋_GB2312" w:cs="仿宋_GB2312"/>
          <w:kern w:val="2"/>
          <w:szCs w:val="30"/>
          <w:lang w:eastAsia="zh-CN"/>
        </w:rPr>
        <w:t>严格执行竞赛项目评分标准，做到公平、公正、真实、准确，杜绝随意打分；严禁利用工作之便，弄虚作假、徇私舞弊。</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0</w:t>
      </w:r>
      <w:r>
        <w:rPr>
          <w:rFonts w:hint="eastAsia" w:ascii="仿宋_GB2312" w:hAnsi="仿宋_GB2312" w:cs="仿宋_GB2312"/>
          <w:kern w:val="2"/>
          <w:szCs w:val="30"/>
          <w:lang w:eastAsia="zh-CN"/>
        </w:rPr>
        <w:t>）</w:t>
      </w:r>
      <w:r>
        <w:rPr>
          <w:rFonts w:ascii="仿宋_GB2312" w:hAnsi="仿宋_GB2312" w:cs="仿宋_GB2312"/>
          <w:kern w:val="2"/>
          <w:szCs w:val="30"/>
          <w:lang w:eastAsia="zh-CN"/>
        </w:rPr>
        <w:t>严格遵守保密纪律。裁判员不得私自与参赛选手或代表队联系，不得透露竞赛的有关情况。</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1</w:t>
      </w:r>
      <w:r>
        <w:rPr>
          <w:rFonts w:hint="eastAsia" w:ascii="仿宋_GB2312" w:hAnsi="仿宋_GB2312" w:cs="仿宋_GB2312"/>
          <w:kern w:val="2"/>
          <w:szCs w:val="30"/>
          <w:lang w:eastAsia="zh-CN"/>
        </w:rPr>
        <w:t>）</w:t>
      </w:r>
      <w:r>
        <w:rPr>
          <w:rFonts w:ascii="仿宋_GB2312" w:hAnsi="仿宋_GB2312" w:cs="仿宋_GB2312"/>
          <w:kern w:val="2"/>
          <w:szCs w:val="30"/>
          <w:lang w:eastAsia="zh-CN"/>
        </w:rPr>
        <w:t>裁判员必须参加赛前培训，否则取消竞赛裁判资格。</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2</w:t>
      </w:r>
      <w:r>
        <w:rPr>
          <w:rFonts w:hint="eastAsia" w:ascii="仿宋_GB2312" w:hAnsi="仿宋_GB2312" w:cs="仿宋_GB2312"/>
          <w:kern w:val="2"/>
          <w:szCs w:val="30"/>
          <w:lang w:eastAsia="zh-CN"/>
        </w:rPr>
        <w:t>）</w:t>
      </w:r>
      <w:r>
        <w:rPr>
          <w:rFonts w:ascii="仿宋_GB2312" w:hAnsi="仿宋_GB2312" w:cs="仿宋_GB2312"/>
          <w:kern w:val="2"/>
          <w:szCs w:val="30"/>
          <w:lang w:eastAsia="zh-CN"/>
        </w:rPr>
        <w:t>竞赛过程中如出现问题或异议，服从裁判长的裁决。</w:t>
      </w:r>
    </w:p>
    <w:p>
      <w:pPr>
        <w:autoSpaceDE/>
        <w:autoSpaceDN/>
        <w:ind w:firstLine="560"/>
        <w:rPr>
          <w:rFonts w:ascii="仿宋_GB2312" w:hAnsi="仿宋_GB2312" w:cs="仿宋_GB2312"/>
          <w:kern w:val="2"/>
          <w:szCs w:val="30"/>
          <w:lang w:eastAsia="zh-CN"/>
        </w:rPr>
      </w:pPr>
      <w:r>
        <w:rPr>
          <w:rFonts w:hint="eastAsia" w:ascii="仿宋_GB2312" w:hAnsi="仿宋_GB2312" w:cs="仿宋_GB2312"/>
          <w:kern w:val="2"/>
          <w:szCs w:val="30"/>
          <w:lang w:eastAsia="zh-CN"/>
        </w:rPr>
        <w:t>（1</w:t>
      </w:r>
      <w:r>
        <w:rPr>
          <w:rFonts w:ascii="仿宋_GB2312" w:hAnsi="仿宋_GB2312" w:cs="仿宋_GB2312"/>
          <w:kern w:val="2"/>
          <w:szCs w:val="30"/>
          <w:lang w:eastAsia="zh-CN"/>
        </w:rPr>
        <w:t>3</w:t>
      </w:r>
      <w:r>
        <w:rPr>
          <w:rFonts w:hint="eastAsia" w:ascii="仿宋_GB2312" w:hAnsi="仿宋_GB2312" w:cs="仿宋_GB2312"/>
          <w:kern w:val="2"/>
          <w:szCs w:val="30"/>
          <w:lang w:eastAsia="zh-CN"/>
        </w:rPr>
        <w:t>）</w:t>
      </w:r>
      <w:r>
        <w:rPr>
          <w:rFonts w:ascii="仿宋_GB2312" w:hAnsi="仿宋_GB2312" w:cs="仿宋_GB2312"/>
          <w:kern w:val="2"/>
          <w:szCs w:val="30"/>
          <w:lang w:eastAsia="zh-CN"/>
        </w:rPr>
        <w:t>竞赛期间，因裁判人员工作不负责任，造成竞赛程序无法继续进行或评判结果不真实的情况，由赛项组委会视情节轻重，给予通报批评或停止裁判资格，并通知其所在单位做出相应处理。</w:t>
      </w:r>
    </w:p>
    <w:bookmarkEnd w:id="321"/>
    <w:bookmarkEnd w:id="322"/>
    <w:bookmarkEnd w:id="323"/>
    <w:p>
      <w:pPr>
        <w:pStyle w:val="3"/>
        <w:rPr>
          <w:lang w:eastAsia="zh-CN"/>
        </w:rPr>
      </w:pPr>
      <w:bookmarkStart w:id="387" w:name="_TOC_300054"/>
      <w:bookmarkStart w:id="388" w:name="_Toc27317"/>
      <w:bookmarkStart w:id="389" w:name="_Toc108109289"/>
      <w:bookmarkStart w:id="390" w:name="_Toc107129674"/>
      <w:bookmarkStart w:id="391" w:name="_Toc8835"/>
      <w:bookmarkStart w:id="392" w:name="_Toc106539849"/>
      <w:bookmarkStart w:id="393" w:name="_Toc142493540"/>
      <w:r>
        <w:rPr>
          <w:lang w:eastAsia="zh-CN"/>
        </w:rPr>
        <w:t>14开放</w:t>
      </w:r>
      <w:bookmarkEnd w:id="387"/>
      <w:r>
        <w:rPr>
          <w:lang w:eastAsia="zh-CN"/>
        </w:rPr>
        <w:t>现场的要求</w:t>
      </w:r>
      <w:bookmarkEnd w:id="388"/>
      <w:bookmarkEnd w:id="389"/>
      <w:bookmarkEnd w:id="390"/>
      <w:bookmarkEnd w:id="391"/>
      <w:bookmarkEnd w:id="392"/>
      <w:bookmarkEnd w:id="393"/>
    </w:p>
    <w:p>
      <w:pPr>
        <w:pStyle w:val="4"/>
        <w:rPr>
          <w:lang w:eastAsia="zh-CN"/>
        </w:rPr>
      </w:pPr>
      <w:bookmarkStart w:id="394" w:name="_Toc108109290"/>
      <w:bookmarkStart w:id="395" w:name="_Toc142493541"/>
      <w:bookmarkStart w:id="396" w:name="_TOC_300055"/>
      <w:bookmarkStart w:id="397" w:name="_Toc25923"/>
      <w:bookmarkStart w:id="398" w:name="_Toc106539850"/>
      <w:bookmarkStart w:id="399" w:name="_Toc20629"/>
      <w:bookmarkStart w:id="400" w:name="_Toc107129675"/>
      <w:r>
        <w:rPr>
          <w:lang w:eastAsia="zh-CN"/>
        </w:rPr>
        <w:t>14.1对于公众开放的要求</w:t>
      </w:r>
      <w:bookmarkEnd w:id="394"/>
      <w:bookmarkEnd w:id="395"/>
      <w:bookmarkEnd w:id="396"/>
      <w:bookmarkEnd w:id="397"/>
      <w:bookmarkEnd w:id="398"/>
      <w:bookmarkEnd w:id="399"/>
      <w:bookmarkEnd w:id="400"/>
    </w:p>
    <w:p>
      <w:pPr>
        <w:ind w:firstLine="560"/>
        <w:rPr>
          <w:lang w:eastAsia="zh-CN"/>
        </w:rPr>
      </w:pPr>
      <w:r>
        <w:rPr>
          <w:lang w:eastAsia="zh-CN"/>
        </w:rPr>
        <w:t>赛场开放，公众可在赛场开放区域自由观摩，但不能妨碍选手比</w:t>
      </w:r>
      <w:r>
        <w:rPr>
          <w:spacing w:val="-1"/>
          <w:lang w:eastAsia="zh-CN"/>
        </w:rPr>
        <w:t>赛</w:t>
      </w:r>
      <w:r>
        <w:rPr>
          <w:lang w:eastAsia="zh-CN"/>
        </w:rPr>
        <w:t>，不得进入竞赛区域。</w:t>
      </w:r>
    </w:p>
    <w:p>
      <w:pPr>
        <w:pStyle w:val="4"/>
        <w:rPr>
          <w:lang w:eastAsia="zh-CN"/>
        </w:rPr>
      </w:pPr>
      <w:bookmarkStart w:id="401" w:name="_Toc106539851"/>
      <w:bookmarkStart w:id="402" w:name="_Toc107129676"/>
      <w:bookmarkStart w:id="403" w:name="_Toc31117"/>
      <w:bookmarkStart w:id="404" w:name="_Toc13810"/>
      <w:bookmarkStart w:id="405" w:name="_TOC_300056"/>
      <w:bookmarkStart w:id="406" w:name="_Toc108109291"/>
      <w:bookmarkStart w:id="407" w:name="_Toc142493542"/>
      <w:r>
        <w:rPr>
          <w:lang w:eastAsia="zh-CN"/>
        </w:rPr>
        <w:t>14.2关于赞助商和宣传的要求</w:t>
      </w:r>
      <w:bookmarkEnd w:id="401"/>
      <w:bookmarkEnd w:id="402"/>
      <w:bookmarkEnd w:id="403"/>
      <w:bookmarkEnd w:id="404"/>
      <w:bookmarkEnd w:id="405"/>
      <w:bookmarkEnd w:id="406"/>
      <w:bookmarkEnd w:id="407"/>
    </w:p>
    <w:p>
      <w:pPr>
        <w:ind w:firstLine="580"/>
        <w:rPr>
          <w:rFonts w:cs="Times New Roman"/>
          <w:lang w:eastAsia="zh-CN"/>
        </w:rPr>
      </w:pPr>
      <w:r>
        <w:rPr>
          <w:rFonts w:cs="Times New Roman"/>
          <w:spacing w:val="5"/>
          <w:lang w:eastAsia="zh-CN"/>
        </w:rPr>
        <w:t>经大</w:t>
      </w:r>
      <w:r>
        <w:rPr>
          <w:rFonts w:cs="Times New Roman"/>
          <w:lang w:eastAsia="zh-CN"/>
        </w:rPr>
        <w:t>赛组委会允许的赞助商和负责宣传的媒体记者，按竞赛规</w:t>
      </w:r>
      <w:r>
        <w:rPr>
          <w:rFonts w:cs="Times New Roman"/>
          <w:spacing w:val="3"/>
          <w:lang w:eastAsia="zh-CN"/>
        </w:rPr>
        <w:t>则的要求进入赛场相关区域。上述相关人员不得妨碍、</w:t>
      </w:r>
      <w:r>
        <w:rPr>
          <w:rFonts w:hint="eastAsia" w:cs="Times New Roman"/>
          <w:spacing w:val="3"/>
          <w:lang w:eastAsia="zh-CN"/>
        </w:rPr>
        <w:t>干扰</w:t>
      </w:r>
      <w:r>
        <w:rPr>
          <w:rFonts w:cs="Times New Roman"/>
          <w:spacing w:val="8"/>
          <w:lang w:eastAsia="zh-CN"/>
        </w:rPr>
        <w:t>选</w:t>
      </w:r>
      <w:r>
        <w:rPr>
          <w:rFonts w:cs="Times New Roman"/>
          <w:spacing w:val="7"/>
          <w:lang w:eastAsia="zh-CN"/>
        </w:rPr>
        <w:t>手竞</w:t>
      </w:r>
      <w:r>
        <w:rPr>
          <w:rFonts w:cs="Times New Roman"/>
          <w:lang w:eastAsia="zh-CN"/>
        </w:rPr>
        <w:t>赛，不得有任何影响竞赛公平、</w:t>
      </w:r>
      <w:r>
        <w:rPr>
          <w:rFonts w:cs="Times New Roman"/>
          <w:spacing w:val="-1"/>
          <w:lang w:eastAsia="zh-CN"/>
        </w:rPr>
        <w:t>公正</w:t>
      </w:r>
      <w:r>
        <w:rPr>
          <w:rFonts w:cs="Times New Roman"/>
          <w:lang w:eastAsia="zh-CN"/>
        </w:rPr>
        <w:t>的行为。</w:t>
      </w:r>
    </w:p>
    <w:p>
      <w:pPr>
        <w:pStyle w:val="3"/>
        <w:rPr>
          <w:lang w:eastAsia="zh-CN"/>
        </w:rPr>
      </w:pPr>
      <w:bookmarkStart w:id="408" w:name="_TOC_300057"/>
      <w:bookmarkStart w:id="409" w:name="_Toc23888"/>
      <w:bookmarkStart w:id="410" w:name="_Toc106539852"/>
      <w:bookmarkStart w:id="411" w:name="_Toc28991"/>
      <w:bookmarkStart w:id="412" w:name="_Toc107129677"/>
      <w:bookmarkStart w:id="413" w:name="_Toc108109292"/>
      <w:bookmarkStart w:id="414" w:name="_Toc142493543"/>
      <w:r>
        <w:rPr>
          <w:lang w:eastAsia="zh-CN"/>
        </w:rPr>
        <w:t>15绿色</w:t>
      </w:r>
      <w:bookmarkEnd w:id="408"/>
      <w:r>
        <w:rPr>
          <w:lang w:eastAsia="zh-CN"/>
        </w:rPr>
        <w:t>环保</w:t>
      </w:r>
      <w:bookmarkEnd w:id="409"/>
      <w:bookmarkEnd w:id="410"/>
      <w:bookmarkEnd w:id="411"/>
      <w:bookmarkEnd w:id="412"/>
      <w:bookmarkEnd w:id="413"/>
      <w:bookmarkEnd w:id="414"/>
    </w:p>
    <w:p>
      <w:pPr>
        <w:pStyle w:val="4"/>
        <w:rPr>
          <w:lang w:eastAsia="zh-CN"/>
        </w:rPr>
      </w:pPr>
      <w:bookmarkStart w:id="415" w:name="_Toc142493544"/>
      <w:bookmarkStart w:id="416" w:name="_Toc107129678"/>
      <w:bookmarkStart w:id="417" w:name="_TOC_300058"/>
      <w:bookmarkStart w:id="418" w:name="_Toc108109293"/>
      <w:bookmarkStart w:id="419" w:name="_Toc27434"/>
      <w:bookmarkStart w:id="420" w:name="_Toc106539853"/>
      <w:bookmarkStart w:id="421" w:name="_Toc11847"/>
      <w:r>
        <w:rPr>
          <w:lang w:eastAsia="zh-CN"/>
        </w:rPr>
        <w:t>15.1环境保护</w:t>
      </w:r>
      <w:bookmarkEnd w:id="415"/>
      <w:bookmarkEnd w:id="416"/>
      <w:bookmarkEnd w:id="417"/>
      <w:bookmarkEnd w:id="418"/>
      <w:bookmarkEnd w:id="419"/>
      <w:bookmarkEnd w:id="420"/>
      <w:bookmarkEnd w:id="421"/>
    </w:p>
    <w:p>
      <w:pPr>
        <w:ind w:firstLine="560"/>
        <w:rPr>
          <w:rFonts w:cs="Times New Roman"/>
          <w:lang w:eastAsia="zh-CN"/>
        </w:rPr>
      </w:pPr>
      <w:r>
        <w:rPr>
          <w:rFonts w:hint="eastAsia" w:cs="Times New Roman"/>
          <w:lang w:eastAsia="zh-CN"/>
        </w:rPr>
        <w:t>全国</w:t>
      </w:r>
      <w:r>
        <w:rPr>
          <w:rFonts w:cs="Times New Roman"/>
          <w:lang w:eastAsia="zh-CN"/>
        </w:rPr>
        <w:t>大赛应注重环境保护，绝不允许破坏环境。</w:t>
      </w:r>
    </w:p>
    <w:p>
      <w:pPr>
        <w:pStyle w:val="4"/>
        <w:rPr>
          <w:lang w:eastAsia="zh-CN"/>
        </w:rPr>
      </w:pPr>
      <w:bookmarkStart w:id="422" w:name="_Toc7766"/>
      <w:bookmarkStart w:id="423" w:name="_Toc107129679"/>
      <w:bookmarkStart w:id="424" w:name="_TOC_300059"/>
      <w:bookmarkStart w:id="425" w:name="_Toc142493545"/>
      <w:bookmarkStart w:id="426" w:name="_Toc15836"/>
      <w:bookmarkStart w:id="427" w:name="_Toc106539854"/>
      <w:bookmarkStart w:id="428" w:name="_Toc108109294"/>
      <w:r>
        <w:rPr>
          <w:lang w:eastAsia="zh-CN"/>
        </w:rPr>
        <w:t>15.2循环利用</w:t>
      </w:r>
      <w:bookmarkEnd w:id="422"/>
      <w:bookmarkEnd w:id="423"/>
      <w:bookmarkEnd w:id="424"/>
      <w:bookmarkEnd w:id="425"/>
      <w:bookmarkEnd w:id="426"/>
      <w:bookmarkEnd w:id="427"/>
      <w:bookmarkEnd w:id="428"/>
    </w:p>
    <w:p>
      <w:pPr>
        <w:ind w:firstLine="560"/>
        <w:rPr>
          <w:lang w:eastAsia="zh-CN"/>
        </w:rPr>
      </w:pPr>
      <w:r>
        <w:rPr>
          <w:rFonts w:hint="eastAsia" w:cs="Times New Roman"/>
          <w:lang w:eastAsia="zh-CN"/>
        </w:rPr>
        <w:t>全国</w:t>
      </w:r>
      <w:r>
        <w:rPr>
          <w:rFonts w:cs="Times New Roman"/>
          <w:lang w:eastAsia="zh-CN"/>
        </w:rPr>
        <w:t>大赛期间产生的废料废液等必须分类收集和回收</w:t>
      </w:r>
      <w:r>
        <w:rPr>
          <w:rFonts w:hint="eastAsia" w:cs="Times New Roman"/>
          <w:lang w:eastAsia="zh-CN"/>
        </w:rPr>
        <w:t>。</w:t>
      </w:r>
    </w:p>
    <w:sectPr>
      <w:headerReference r:id="rId12" w:type="default"/>
      <w:footerReference r:id="rId13" w:type="default"/>
      <w:pgSz w:w="11906" w:h="16838"/>
      <w:pgMar w:top="1418" w:right="1134" w:bottom="1418" w:left="1701"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057AD98-9D75-402F-B7B5-7C08868C46DD}"/>
  </w:font>
  <w:font w:name="黑体">
    <w:panose1 w:val="02010609060101010101"/>
    <w:charset w:val="86"/>
    <w:family w:val="auto"/>
    <w:pitch w:val="default"/>
    <w:sig w:usb0="800002BF" w:usb1="38CF7CFA" w:usb2="00000016" w:usb3="00000000" w:csb0="00040001" w:csb1="00000000"/>
    <w:embedRegular r:id="rId2" w:fontKey="{13250EB0-15DC-48C6-A7B2-F5636195F4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EC7CB0A4-2915-4234-BFCE-F2908D6D87A8}"/>
  </w:font>
  <w:font w:name="仿宋_GB2312">
    <w:altName w:val="仿宋"/>
    <w:panose1 w:val="00000000000000000000"/>
    <w:charset w:val="86"/>
    <w:family w:val="modern"/>
    <w:pitch w:val="default"/>
    <w:sig w:usb0="00000000" w:usb1="00000000" w:usb2="00000010" w:usb3="00000000" w:csb0="00040000" w:csb1="00000000"/>
    <w:embedRegular r:id="rId4" w:fontKey="{E2B55A32-23D6-43D5-85AE-C59C8C347E93}"/>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5" w:fontKey="{BA32EBBE-092D-4A6F-AD38-A3901F91D3D7}"/>
  </w:font>
  <w:font w:name="宋体-18030">
    <w:altName w:val="黑体"/>
    <w:panose1 w:val="00000000000000000000"/>
    <w:charset w:val="86"/>
    <w:family w:val="modern"/>
    <w:pitch w:val="default"/>
    <w:sig w:usb0="00000000" w:usb1="00000000" w:usb2="00000010" w:usb3="00000000" w:csb0="00040000" w:csb1="00000000"/>
    <w:embedRegular r:id="rId6" w:fontKey="{99E923E5-3EEB-47DF-813C-A1FAB6F14317}"/>
  </w:font>
  <w:font w:name="方正小标宋_GBK">
    <w:panose1 w:val="02000000000000000000"/>
    <w:charset w:val="86"/>
    <w:family w:val="auto"/>
    <w:pitch w:val="default"/>
    <w:sig w:usb0="A00002BF" w:usb1="38CF7CFA" w:usb2="00082016" w:usb3="00000000" w:csb0="00040001" w:csb1="00000000"/>
    <w:embedRegular r:id="rId7" w:fontKey="{342ACF56-D005-4ECE-8ABB-0F6DD6518F4B}"/>
  </w:font>
  <w:font w:name="方正小标宋简体">
    <w:panose1 w:val="02000000000000000000"/>
    <w:charset w:val="86"/>
    <w:family w:val="auto"/>
    <w:pitch w:val="default"/>
    <w:sig w:usb0="00000001" w:usb1="08000000" w:usb2="00000000" w:usb3="00000000" w:csb0="00040000" w:csb1="00000000"/>
    <w:embedRegular r:id="rId8" w:fontKey="{9F2C7663-14A4-4860-9A8E-E18BA0164A13}"/>
  </w:font>
  <w:font w:name="Abadi">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943484"/>
    </w:sdtPr>
    <w:sdtContent>
      <w:p>
        <w:pPr>
          <w:pStyle w:val="9"/>
          <w:ind w:firstLine="360"/>
          <w:jc w:val="center"/>
        </w:pPr>
        <w:r>
          <w:fldChar w:fldCharType="begin"/>
        </w:r>
        <w:r>
          <w:instrText xml:space="preserve">PAGE   \* MERGEFORMAT</w:instrText>
        </w:r>
        <w:r>
          <w:fldChar w:fldCharType="separate"/>
        </w:r>
        <w:r>
          <w:rPr>
            <w:lang w:val="zh-CN" w:eastAsia="zh-CN"/>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rPr>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5NjhlZjUwMTMxMWU2MjRiMTU2ODYxZDU5YTI3MDEifQ=="/>
  </w:docVars>
  <w:rsids>
    <w:rsidRoot w:val="00CB4447"/>
    <w:rsid w:val="000144CE"/>
    <w:rsid w:val="00054A58"/>
    <w:rsid w:val="000B2E75"/>
    <w:rsid w:val="000D45F7"/>
    <w:rsid w:val="00116949"/>
    <w:rsid w:val="001252BA"/>
    <w:rsid w:val="0014211D"/>
    <w:rsid w:val="00153765"/>
    <w:rsid w:val="0025126C"/>
    <w:rsid w:val="002B1CD6"/>
    <w:rsid w:val="002D6B1A"/>
    <w:rsid w:val="00353374"/>
    <w:rsid w:val="00360F9C"/>
    <w:rsid w:val="00367264"/>
    <w:rsid w:val="00425A7A"/>
    <w:rsid w:val="00441BAC"/>
    <w:rsid w:val="004550BE"/>
    <w:rsid w:val="00521C90"/>
    <w:rsid w:val="00530E0B"/>
    <w:rsid w:val="0058749D"/>
    <w:rsid w:val="00682FF3"/>
    <w:rsid w:val="00683FBC"/>
    <w:rsid w:val="00685E8F"/>
    <w:rsid w:val="006A7C98"/>
    <w:rsid w:val="006C418C"/>
    <w:rsid w:val="006D1E2D"/>
    <w:rsid w:val="006D5F62"/>
    <w:rsid w:val="007614B5"/>
    <w:rsid w:val="0078141D"/>
    <w:rsid w:val="00827F47"/>
    <w:rsid w:val="00836774"/>
    <w:rsid w:val="00854478"/>
    <w:rsid w:val="0092041A"/>
    <w:rsid w:val="00931F6E"/>
    <w:rsid w:val="009617DB"/>
    <w:rsid w:val="009C6C15"/>
    <w:rsid w:val="009D3920"/>
    <w:rsid w:val="00A06029"/>
    <w:rsid w:val="00A44154"/>
    <w:rsid w:val="00A5441D"/>
    <w:rsid w:val="00A544F1"/>
    <w:rsid w:val="00A86243"/>
    <w:rsid w:val="00AA50FB"/>
    <w:rsid w:val="00AF7DBF"/>
    <w:rsid w:val="00B401E8"/>
    <w:rsid w:val="00B47E36"/>
    <w:rsid w:val="00B50466"/>
    <w:rsid w:val="00B655CA"/>
    <w:rsid w:val="00B67F5E"/>
    <w:rsid w:val="00BE21C7"/>
    <w:rsid w:val="00C20363"/>
    <w:rsid w:val="00C32468"/>
    <w:rsid w:val="00C6019E"/>
    <w:rsid w:val="00CA4F66"/>
    <w:rsid w:val="00CB0FA8"/>
    <w:rsid w:val="00CB4447"/>
    <w:rsid w:val="00DC32A8"/>
    <w:rsid w:val="00DE137D"/>
    <w:rsid w:val="00F21175"/>
    <w:rsid w:val="00F6021C"/>
    <w:rsid w:val="00FE53BC"/>
    <w:rsid w:val="0D550799"/>
    <w:rsid w:val="13F669F6"/>
    <w:rsid w:val="171066A3"/>
    <w:rsid w:val="181D2E36"/>
    <w:rsid w:val="19C51899"/>
    <w:rsid w:val="20E51B3F"/>
    <w:rsid w:val="242A0B1C"/>
    <w:rsid w:val="2FAF1EAF"/>
    <w:rsid w:val="311724DC"/>
    <w:rsid w:val="321E4102"/>
    <w:rsid w:val="33632B34"/>
    <w:rsid w:val="35A23ED4"/>
    <w:rsid w:val="38BE20F7"/>
    <w:rsid w:val="3A8B266D"/>
    <w:rsid w:val="3B55625A"/>
    <w:rsid w:val="3BBF7D0F"/>
    <w:rsid w:val="3FDD7B5A"/>
    <w:rsid w:val="450569A8"/>
    <w:rsid w:val="48E009D5"/>
    <w:rsid w:val="49582660"/>
    <w:rsid w:val="4DE4631D"/>
    <w:rsid w:val="561541E4"/>
    <w:rsid w:val="5C0B7006"/>
    <w:rsid w:val="5F0E0117"/>
    <w:rsid w:val="60D104ED"/>
    <w:rsid w:val="6F8A1A3C"/>
    <w:rsid w:val="71E70241"/>
    <w:rsid w:val="72563E57"/>
    <w:rsid w:val="72BD3B38"/>
    <w:rsid w:val="743B4A11"/>
    <w:rsid w:val="77D870BC"/>
    <w:rsid w:val="7D042D63"/>
    <w:rsid w:val="7DF476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line="360" w:lineRule="auto"/>
      <w:ind w:firstLine="200" w:firstLineChars="200"/>
      <w:jc w:val="both"/>
    </w:pPr>
    <w:rPr>
      <w:rFonts w:ascii="Times New Roman" w:hAnsi="Times New Roman" w:eastAsia="仿宋_GB2312" w:cs="宋体"/>
      <w:sz w:val="28"/>
      <w:szCs w:val="22"/>
      <w:lang w:val="en-US" w:eastAsia="en-US" w:bidi="ar-SA"/>
    </w:rPr>
  </w:style>
  <w:style w:type="paragraph" w:styleId="2">
    <w:name w:val="heading 1"/>
    <w:basedOn w:val="1"/>
    <w:next w:val="1"/>
    <w:qFormat/>
    <w:uiPriority w:val="9"/>
    <w:pPr>
      <w:keepNext/>
      <w:keepLines/>
      <w:ind w:firstLine="0" w:firstLineChars="0"/>
      <w:jc w:val="left"/>
      <w:outlineLvl w:val="0"/>
    </w:pPr>
    <w:rPr>
      <w:rFonts w:eastAsia="黑体" w:cstheme="majorBidi"/>
      <w:b/>
      <w:kern w:val="32"/>
      <w:sz w:val="32"/>
      <w:szCs w:val="44"/>
    </w:rPr>
  </w:style>
  <w:style w:type="paragraph" w:styleId="3">
    <w:name w:val="heading 2"/>
    <w:basedOn w:val="1"/>
    <w:next w:val="1"/>
    <w:unhideWhenUsed/>
    <w:qFormat/>
    <w:uiPriority w:val="9"/>
    <w:pPr>
      <w:keepNext/>
      <w:keepLines/>
      <w:autoSpaceDE/>
      <w:ind w:firstLine="0" w:firstLineChars="0"/>
      <w:jc w:val="left"/>
      <w:outlineLvl w:val="1"/>
    </w:pPr>
    <w:rPr>
      <w:rFonts w:cstheme="majorBidi"/>
      <w:b/>
      <w:bCs/>
      <w:sz w:val="30"/>
      <w:szCs w:val="32"/>
    </w:rPr>
  </w:style>
  <w:style w:type="paragraph" w:styleId="4">
    <w:name w:val="heading 3"/>
    <w:basedOn w:val="1"/>
    <w:next w:val="1"/>
    <w:link w:val="26"/>
    <w:unhideWhenUsed/>
    <w:qFormat/>
    <w:uiPriority w:val="9"/>
    <w:pPr>
      <w:keepNext/>
      <w:keepLines/>
      <w:spacing w:before="120" w:after="120"/>
      <w:ind w:firstLine="0" w:firstLineChars="0"/>
      <w:jc w:val="left"/>
      <w:outlineLvl w:val="2"/>
    </w:pPr>
    <w:rPr>
      <w:b/>
      <w:bCs/>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pPr>
      <w:spacing w:line="240" w:lineRule="auto"/>
      <w:ind w:firstLine="0" w:firstLineChars="0"/>
      <w:jc w:val="center"/>
    </w:pPr>
    <w:rPr>
      <w:rFonts w:cstheme="majorBidi"/>
      <w:sz w:val="21"/>
      <w:szCs w:val="20"/>
    </w:rPr>
  </w:style>
  <w:style w:type="paragraph" w:styleId="6">
    <w:name w:val="Body Text"/>
    <w:basedOn w:val="1"/>
    <w:next w:val="7"/>
    <w:qFormat/>
    <w:uiPriority w:val="1"/>
    <w:rPr>
      <w:szCs w:val="30"/>
    </w:rPr>
  </w:style>
  <w:style w:type="paragraph" w:customStyle="1" w:styleId="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toc 3"/>
    <w:basedOn w:val="1"/>
    <w:next w:val="1"/>
    <w:unhideWhenUsed/>
    <w:qFormat/>
    <w:uiPriority w:val="39"/>
    <w:pPr>
      <w:widowControl/>
      <w:autoSpaceDE/>
      <w:autoSpaceDN/>
      <w:spacing w:after="100" w:line="259" w:lineRule="auto"/>
      <w:ind w:left="440"/>
    </w:pPr>
    <w:rPr>
      <w:rFonts w:cs="Times New Roman" w:asciiTheme="minorHAnsi" w:hAnsiTheme="minorHAnsi" w:eastAsiaTheme="minorEastAsia"/>
      <w:lang w:eastAsia="zh-CN"/>
    </w:rPr>
  </w:style>
  <w:style w:type="paragraph" w:styleId="9">
    <w:name w:val="footer"/>
    <w:basedOn w:val="1"/>
    <w:unhideWhenUsed/>
    <w:qFormat/>
    <w:uiPriority w:val="99"/>
    <w:pPr>
      <w:tabs>
        <w:tab w:val="center" w:pos="4153"/>
        <w:tab w:val="right" w:pos="8306"/>
      </w:tabs>
      <w:snapToGrid w:val="0"/>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autoSpaceDE/>
      <w:autoSpaceDN/>
    </w:pPr>
    <w:rPr>
      <w:rFonts w:cs="Times New Roman" w:asciiTheme="minorHAnsi" w:hAnsiTheme="minorHAnsi"/>
      <w:b/>
      <w:lang w:eastAsia="zh-CN"/>
    </w:rPr>
  </w:style>
  <w:style w:type="paragraph" w:styleId="12">
    <w:name w:val="toc 2"/>
    <w:basedOn w:val="1"/>
    <w:next w:val="1"/>
    <w:unhideWhenUsed/>
    <w:qFormat/>
    <w:uiPriority w:val="39"/>
    <w:pPr>
      <w:widowControl/>
      <w:autoSpaceDE/>
      <w:autoSpaceDN/>
      <w:ind w:left="221"/>
    </w:pPr>
    <w:rPr>
      <w:rFonts w:cs="Times New Roman" w:asciiTheme="minorHAnsi" w:hAnsiTheme="minorHAnsi"/>
      <w:lang w:eastAsia="zh-CN"/>
    </w:rPr>
  </w:style>
  <w:style w:type="paragraph" w:styleId="13">
    <w:name w:val="Normal (Web)"/>
    <w:basedOn w:val="1"/>
    <w:unhideWhenUsed/>
    <w:qFormat/>
    <w:uiPriority w:val="99"/>
  </w:style>
  <w:style w:type="paragraph" w:styleId="14">
    <w:name w:val="Body Text First Indent"/>
    <w:basedOn w:val="6"/>
    <w:next w:val="1"/>
    <w:semiHidden/>
    <w:qFormat/>
    <w:uiPriority w:val="0"/>
    <w:pPr>
      <w:ind w:firstLine="723"/>
    </w:pPr>
    <w:rPr>
      <w:rFonts w:asciiTheme="minorHAnsi" w:hAnsiTheme="minorHAnsi" w:eastAsiaTheme="minorEastAsia"/>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26E5" w:themeColor="hyperlink"/>
      <w:u w:val="single"/>
      <w14:textFill>
        <w14:solidFill>
          <w14:schemeClr w14:val="hlink"/>
        </w14:solidFill>
      </w14:textFill>
    </w:rPr>
  </w:style>
  <w:style w:type="paragraph" w:customStyle="1" w:styleId="19">
    <w:name w:val="正文1"/>
    <w:basedOn w:val="1"/>
    <w:qFormat/>
    <w:uiPriority w:val="0"/>
    <w:pPr>
      <w:ind w:firstLine="480"/>
      <w:jc w:val="left"/>
    </w:pPr>
    <w:rPr>
      <w:rFonts w:ascii="微软雅黑" w:hAnsi="微软雅黑" w:eastAsia="微软雅黑" w:cstheme="minorBidi"/>
      <w:kern w:val="2"/>
      <w:sz w:val="24"/>
    </w:rPr>
  </w:style>
  <w:style w:type="paragraph" w:customStyle="1" w:styleId="20">
    <w:name w:val="TOC 标题2"/>
    <w:basedOn w:val="2"/>
    <w:next w:val="1"/>
    <w:unhideWhenUsed/>
    <w:qFormat/>
    <w:uiPriority w:val="39"/>
    <w:pPr>
      <w:widowControl/>
      <w:autoSpaceDE/>
      <w:autoSpaceDN/>
      <w:spacing w:before="240" w:line="259" w:lineRule="auto"/>
      <w:outlineLvl w:val="9"/>
    </w:pPr>
    <w:rPr>
      <w:rFonts w:asciiTheme="majorHAnsi" w:hAnsiTheme="majorHAnsi" w:eastAsiaTheme="majorEastAsia"/>
      <w:b w:val="0"/>
      <w:color w:val="2E54A1" w:themeColor="accent1" w:themeShade="BF"/>
      <w:kern w:val="0"/>
      <w:szCs w:val="32"/>
      <w:lang w:eastAsia="zh-CN"/>
    </w:rPr>
  </w:style>
  <w:style w:type="paragraph" w:customStyle="1" w:styleId="21">
    <w:name w:val="图表"/>
    <w:basedOn w:val="1"/>
    <w:link w:val="25"/>
    <w:qFormat/>
    <w:uiPriority w:val="0"/>
    <w:pPr>
      <w:autoSpaceDE/>
      <w:autoSpaceDN/>
      <w:spacing w:line="240" w:lineRule="auto"/>
      <w:ind w:firstLine="0" w:firstLineChars="0"/>
      <w:jc w:val="center"/>
    </w:pPr>
    <w:rPr>
      <w:bCs/>
      <w:sz w:val="24"/>
      <w:szCs w:val="28"/>
      <w:lang w:eastAsia="zh-CN"/>
    </w:rPr>
  </w:style>
  <w:style w:type="table" w:customStyle="1" w:styleId="22">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styleId="23">
    <w:name w:val="List Paragraph"/>
    <w:basedOn w:val="1"/>
    <w:qFormat/>
    <w:uiPriority w:val="34"/>
    <w:pPr>
      <w:ind w:firstLine="420"/>
    </w:pPr>
  </w:style>
  <w:style w:type="paragraph" w:customStyle="1" w:styleId="24">
    <w:name w:val="列出段落5"/>
    <w:basedOn w:val="1"/>
    <w:qFormat/>
    <w:uiPriority w:val="99"/>
    <w:pPr>
      <w:widowControl/>
      <w:autoSpaceDE/>
      <w:autoSpaceDN/>
      <w:ind w:firstLine="420"/>
    </w:pPr>
    <w:rPr>
      <w:rFonts w:eastAsia="宋体" w:cstheme="minorBidi"/>
    </w:rPr>
  </w:style>
  <w:style w:type="character" w:customStyle="1" w:styleId="25">
    <w:name w:val="图表 Char"/>
    <w:basedOn w:val="17"/>
    <w:link w:val="21"/>
    <w:qFormat/>
    <w:uiPriority w:val="0"/>
    <w:rPr>
      <w:bCs/>
      <w:sz w:val="24"/>
      <w:szCs w:val="28"/>
      <w:lang w:eastAsia="zh-CN"/>
    </w:rPr>
  </w:style>
  <w:style w:type="character" w:customStyle="1" w:styleId="26">
    <w:name w:val="标题 3 字符"/>
    <w:basedOn w:val="17"/>
    <w:link w:val="4"/>
    <w:qFormat/>
    <w:uiPriority w:val="9"/>
    <w:rPr>
      <w:b/>
      <w:bCs/>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37</Pages>
  <Words>15106</Words>
  <Characters>5258</Characters>
  <Lines>43</Lines>
  <Paragraphs>40</Paragraphs>
  <TotalTime>136</TotalTime>
  <ScaleCrop>false</ScaleCrop>
  <LinksUpToDate>false</LinksUpToDate>
  <CharactersWithSpaces>20324</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2023-09-05T00:43:00Z</dcterms:created>
  <dc:creator>chlrob1</dc:creator>
  <cp:lastModifiedBy>WPS_1469511336</cp:lastModifiedBy>
  <dcterms:modified xsi:type="dcterms:W3CDTF">2023-11-13T06:15:32Z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83A5FF65E98E4FDB93E7CC087BA3554F_13</vt:lpwstr>
  </property>
</Properties>
</file>