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19F6F">
      <w:pPr>
        <w:spacing w:before="480" w:after="360" w:line="600" w:lineRule="exact"/>
        <w:jc w:val="center"/>
        <w:rPr>
          <w:lang w:eastAsia="zh-CN"/>
        </w:rPr>
      </w:pPr>
      <w:r>
        <w:rPr>
          <w:rFonts w:hint="eastAsia" w:ascii="黑体" w:hAnsi="黑体" w:eastAsia="黑体"/>
          <w:b/>
          <w:sz w:val="36"/>
          <w:lang w:val="en-US" w:eastAsia="zh-CN"/>
        </w:rPr>
        <w:t>2</w:t>
      </w:r>
      <w:r>
        <w:rPr>
          <w:rFonts w:ascii="黑体" w:hAnsi="黑体" w:eastAsia="黑体"/>
          <w:b/>
          <w:sz w:val="36"/>
          <w:lang w:eastAsia="zh-CN"/>
        </w:rPr>
        <w:t>027年</w:t>
      </w:r>
      <w:r>
        <w:rPr>
          <w:rFonts w:hint="eastAsia" w:ascii="黑体" w:hAnsi="黑体" w:eastAsia="黑体"/>
          <w:b/>
          <w:sz w:val="36"/>
          <w:lang w:val="en-US" w:eastAsia="zh-CN"/>
        </w:rPr>
        <w:t>第十一届</w:t>
      </w:r>
      <w:r>
        <w:rPr>
          <w:rFonts w:ascii="黑体" w:hAnsi="黑体" w:eastAsia="黑体"/>
          <w:b/>
          <w:sz w:val="36"/>
          <w:lang w:eastAsia="zh-CN"/>
        </w:rPr>
        <w:t>中国（国际）传感器创新创业大赛</w:t>
      </w:r>
    </w:p>
    <w:p w14:paraId="5B6E30C7">
      <w:pPr>
        <w:spacing w:before="480" w:after="360" w:line="600" w:lineRule="exact"/>
        <w:jc w:val="center"/>
        <w:rPr>
          <w:rFonts w:hint="default"/>
          <w:lang w:val="en-US" w:eastAsia="zh-CN"/>
        </w:rPr>
      </w:pPr>
      <w:r>
        <w:rPr>
          <w:rFonts w:ascii="黑体" w:hAnsi="黑体" w:eastAsia="黑体"/>
          <w:b/>
          <w:sz w:val="36"/>
          <w:lang w:eastAsia="zh-CN"/>
        </w:rPr>
        <w:t>"力触觉技术及应用</w:t>
      </w:r>
      <w:r>
        <w:rPr>
          <w:rFonts w:hint="eastAsia" w:ascii="黑体" w:hAnsi="黑体" w:eastAsia="黑体"/>
          <w:b/>
          <w:sz w:val="36"/>
          <w:lang w:val="en-US" w:eastAsia="zh-CN"/>
        </w:rPr>
        <w:t>专题赛事</w:t>
      </w:r>
      <w:r>
        <w:rPr>
          <w:rFonts w:ascii="黑体" w:hAnsi="黑体" w:eastAsia="黑体"/>
          <w:b/>
          <w:sz w:val="36"/>
          <w:lang w:eastAsia="zh-CN"/>
        </w:rPr>
        <w:t>"</w:t>
      </w:r>
      <w:r>
        <w:rPr>
          <w:rFonts w:hint="eastAsia" w:ascii="黑体" w:hAnsi="黑体" w:eastAsia="黑体"/>
          <w:b/>
          <w:sz w:val="36"/>
          <w:lang w:val="en-US" w:eastAsia="zh-CN"/>
        </w:rPr>
        <w:t>赛道设置说明</w:t>
      </w:r>
      <w:bookmarkStart w:id="0" w:name="_GoBack"/>
      <w:bookmarkEnd w:id="0"/>
    </w:p>
    <w:p w14:paraId="2460E06D">
      <w:pPr>
        <w:spacing w:before="360" w:line="480" w:lineRule="exact"/>
        <w:rPr>
          <w:lang w:eastAsia="zh-CN"/>
        </w:rPr>
      </w:pPr>
      <w:r>
        <w:rPr>
          <w:rFonts w:hint="eastAsia" w:ascii="黑体" w:hAnsi="黑体" w:eastAsia="黑体"/>
          <w:b/>
          <w:color w:val="003366"/>
          <w:sz w:val="28"/>
          <w:lang w:val="en-US" w:eastAsia="zh-CN"/>
        </w:rPr>
        <w:t>一</w:t>
      </w:r>
      <w:r>
        <w:rPr>
          <w:rFonts w:ascii="黑体" w:hAnsi="黑体" w:eastAsia="黑体"/>
          <w:b/>
          <w:color w:val="003366"/>
          <w:sz w:val="28"/>
          <w:lang w:eastAsia="zh-CN"/>
        </w:rPr>
        <w:t>、赛道设置</w:t>
      </w:r>
    </w:p>
    <w:p w14:paraId="338E7151">
      <w:pPr>
        <w:spacing w:after="120" w:line="360" w:lineRule="auto"/>
        <w:ind w:firstLine="420"/>
        <w:jc w:val="both"/>
        <w:rPr>
          <w:rFonts w:hint="default"/>
          <w:lang w:val="en-US" w:eastAsia="zh-CN"/>
        </w:rPr>
      </w:pPr>
      <w:r>
        <w:rPr>
          <w:rFonts w:ascii="宋体" w:hAnsi="宋体" w:eastAsia="宋体"/>
          <w:sz w:val="21"/>
          <w:lang w:eastAsia="zh-CN"/>
        </w:rPr>
        <w:t>本届大赛围绕力触觉传感/反馈技术，设置</w:t>
      </w:r>
      <w:r>
        <w:rPr>
          <w:rFonts w:hint="eastAsia" w:ascii="宋体" w:hAnsi="宋体" w:eastAsia="宋体"/>
          <w:sz w:val="21"/>
          <w:lang w:val="en-US" w:eastAsia="zh-CN"/>
        </w:rPr>
        <w:t>主</w:t>
      </w:r>
      <w:r>
        <w:rPr>
          <w:rFonts w:ascii="宋体" w:hAnsi="宋体" w:eastAsia="宋体"/>
          <w:sz w:val="21"/>
          <w:lang w:eastAsia="zh-CN"/>
        </w:rPr>
        <w:t>赛道与专项赛道，并增设特色挑战</w:t>
      </w:r>
      <w:r>
        <w:rPr>
          <w:rFonts w:hint="eastAsia" w:ascii="宋体" w:hAnsi="宋体" w:eastAsia="宋体"/>
          <w:sz w:val="21"/>
          <w:lang w:val="en-US" w:eastAsia="zh-CN"/>
        </w:rPr>
        <w:t>赛道</w:t>
      </w:r>
      <w:r>
        <w:rPr>
          <w:rFonts w:ascii="宋体" w:hAnsi="宋体" w:eastAsia="宋体"/>
          <w:sz w:val="21"/>
          <w:lang w:eastAsia="zh-CN"/>
        </w:rPr>
        <w:t>。参赛团队可围绕以下方向选题：</w:t>
      </w:r>
      <w:r>
        <w:rPr>
          <w:rFonts w:hint="eastAsia" w:ascii="宋体" w:hAnsi="宋体" w:eastAsia="宋体"/>
          <w:sz w:val="21"/>
          <w:lang w:val="en-US" w:eastAsia="zh-CN"/>
        </w:rPr>
        <w:t>主赛道、专项赛道、特色赛道</w:t>
      </w:r>
    </w:p>
    <w:p w14:paraId="26CC9468">
      <w:pPr>
        <w:spacing w:before="240" w:after="120" w:line="440" w:lineRule="exact"/>
        <w:jc w:val="both"/>
        <w:rPr>
          <w:rFonts w:hint="default" w:ascii="黑体" w:hAnsi="黑体" w:eastAsia="黑体"/>
          <w:b/>
          <w:sz w:val="24"/>
          <w:lang w:val="en-US" w:eastAsia="zh-CN"/>
        </w:rPr>
      </w:pPr>
      <w:r>
        <w:rPr>
          <w:rFonts w:hint="eastAsia" w:ascii="黑体" w:hAnsi="黑体" w:eastAsia="黑体"/>
          <w:b/>
          <w:sz w:val="24"/>
          <w:lang w:val="en-US" w:eastAsia="zh-CN"/>
        </w:rPr>
        <w:t>主赛道：（方向1-4）</w:t>
      </w:r>
    </w:p>
    <w:p w14:paraId="7A9E0158">
      <w:pPr>
        <w:spacing w:before="240" w:after="120" w:line="440" w:lineRule="exact"/>
        <w:jc w:val="both"/>
        <w:rPr>
          <w:lang w:eastAsia="zh-CN"/>
        </w:rPr>
      </w:pPr>
      <w:r>
        <w:rPr>
          <w:rFonts w:ascii="黑体" w:hAnsi="黑体" w:eastAsia="黑体"/>
          <w:b/>
          <w:sz w:val="24"/>
          <w:lang w:eastAsia="zh-CN"/>
        </w:rPr>
        <w:t>方向1：具身感知遥操作</w:t>
      </w:r>
    </w:p>
    <w:p w14:paraId="1AA693C4">
      <w:pPr>
        <w:spacing w:after="120" w:line="360" w:lineRule="auto"/>
        <w:ind w:firstLine="420"/>
        <w:jc w:val="left"/>
        <w:rPr>
          <w:lang w:eastAsia="zh-CN"/>
        </w:rPr>
      </w:pPr>
      <w:r>
        <w:rPr>
          <w:rFonts w:ascii="宋体" w:hAnsi="宋体" w:eastAsia="宋体"/>
          <w:sz w:val="21"/>
          <w:lang w:eastAsia="zh-CN"/>
        </w:rPr>
        <w:t>面向远程操控、危险环境作业、太空/深海探测、远程医疗等场景，研究基于力触觉反馈的遥操作机器人系统。重点探索主从异构映射、时延补偿与稳定性控制、共享自治与触觉临场感等关键技术，实现操作者对远端环境的沉浸式力感知与精准操控。</w:t>
      </w:r>
    </w:p>
    <w:p w14:paraId="037F975B">
      <w:pPr>
        <w:spacing w:after="120" w:line="360" w:lineRule="auto"/>
        <w:ind w:firstLine="420"/>
        <w:jc w:val="left"/>
        <w:rPr>
          <w:lang w:eastAsia="zh-CN"/>
        </w:rPr>
      </w:pPr>
      <w:r>
        <w:rPr>
          <w:rFonts w:ascii="宋体" w:hAnsi="宋体" w:eastAsia="宋体"/>
          <w:sz w:val="21"/>
          <w:lang w:eastAsia="zh-CN"/>
        </w:rPr>
        <w:t>具体包括但不限于：力/位混合双边控制、虚拟夹具与导引策略、触觉互联网（Tactile Internet）低时延传输、多自由度力反馈主手设计、环境力建模与渲染、遥操作中的透明度优化、人机协同决策等。鼓励使用自研或开源主手与从端执行器结合，降低系统整机门槛。</w:t>
      </w:r>
    </w:p>
    <w:p w14:paraId="50DE26AB">
      <w:pPr>
        <w:spacing w:before="120" w:after="80" w:line="360" w:lineRule="auto"/>
        <w:jc w:val="both"/>
        <w:rPr>
          <w:lang w:eastAsia="zh-CN"/>
        </w:rPr>
      </w:pPr>
      <w:r>
        <w:rPr>
          <w:rFonts w:ascii="黑体" w:hAnsi="黑体" w:eastAsia="黑体"/>
          <w:b/>
          <w:color w:val="C00000"/>
          <w:sz w:val="21"/>
          <w:lang w:eastAsia="zh-CN"/>
        </w:rPr>
        <w:t>【命题</w:t>
      </w:r>
      <w:r>
        <w:rPr>
          <w:rFonts w:hint="eastAsia" w:ascii="黑体" w:hAnsi="黑体" w:eastAsia="黑体"/>
          <w:b/>
          <w:color w:val="C00000"/>
          <w:sz w:val="21"/>
          <w:lang w:val="en-US" w:eastAsia="zh-CN"/>
        </w:rPr>
        <w:t>内容</w:t>
      </w:r>
      <w:r>
        <w:rPr>
          <w:rFonts w:ascii="黑体" w:hAnsi="黑体" w:eastAsia="黑体"/>
          <w:b/>
          <w:color w:val="C00000"/>
          <w:sz w:val="21"/>
          <w:lang w:eastAsia="zh-CN"/>
        </w:rPr>
        <w:t>】</w:t>
      </w:r>
      <w:r>
        <w:rPr>
          <w:rFonts w:ascii="黑体" w:hAnsi="黑体" w:eastAsia="黑体"/>
          <w:b/>
          <w:sz w:val="21"/>
          <w:lang w:eastAsia="zh-CN"/>
        </w:rPr>
        <w:t xml:space="preserve"> 遥操作中的力觉临场感构建与增强</w:t>
      </w:r>
      <w:r>
        <w:rPr>
          <w:rFonts w:ascii="宋体" w:hAnsi="宋体" w:eastAsia="宋体"/>
          <w:sz w:val="21"/>
          <w:lang w:eastAsia="zh-CN"/>
        </w:rPr>
        <w:t xml:space="preserve"> </w:t>
      </w:r>
    </w:p>
    <w:p w14:paraId="757E5931">
      <w:pPr>
        <w:spacing w:after="80" w:line="360" w:lineRule="auto"/>
        <w:ind w:left="850"/>
        <w:jc w:val="both"/>
        <w:rPr>
          <w:lang w:eastAsia="zh-CN"/>
        </w:rPr>
      </w:pPr>
      <w:r>
        <w:rPr>
          <w:rFonts w:ascii="宋体" w:hAnsi="宋体" w:eastAsia="宋体"/>
          <w:sz w:val="20"/>
          <w:lang w:eastAsia="zh-CN"/>
        </w:rPr>
        <w:t>本命题需解决遥操作中操作者缺乏真实力觉反馈的核心问题。参赛团队需基于六维力传感器</w:t>
      </w:r>
      <w:r>
        <w:rPr>
          <w:rFonts w:hint="eastAsia" w:ascii="宋体" w:hAnsi="宋体" w:eastAsia="宋体"/>
          <w:sz w:val="20"/>
          <w:lang w:val="en-US" w:eastAsia="zh-CN"/>
        </w:rPr>
        <w:t>或者力反馈控制器</w:t>
      </w:r>
      <w:r>
        <w:rPr>
          <w:rFonts w:ascii="宋体" w:hAnsi="宋体" w:eastAsia="宋体"/>
          <w:sz w:val="20"/>
          <w:lang w:eastAsia="zh-CN"/>
        </w:rPr>
        <w:t>，构建力反馈遥操作实验系统，实现末端位姿遥操作与接触力觉再现的完整闭环。基础任务包括搭建力反馈遥操作系统、实现力信号采集与主端力再现；挑战任务包括引入网络延迟模拟、开发延迟补偿算法，以及扩展至外骨骼/双臂主从系统或远程插拔场景。</w:t>
      </w:r>
    </w:p>
    <w:p w14:paraId="59A28767">
      <w:pPr>
        <w:spacing w:before="240" w:after="120" w:line="440" w:lineRule="exact"/>
        <w:jc w:val="both"/>
        <w:rPr>
          <w:lang w:eastAsia="zh-CN"/>
        </w:rPr>
      </w:pPr>
      <w:r>
        <w:rPr>
          <w:rFonts w:ascii="黑体" w:hAnsi="黑体" w:eastAsia="黑体"/>
          <w:b/>
          <w:sz w:val="24"/>
          <w:lang w:eastAsia="zh-CN"/>
        </w:rPr>
        <w:t>方向2：力觉/触觉传感</w:t>
      </w:r>
    </w:p>
    <w:p w14:paraId="4B31583A">
      <w:pPr>
        <w:spacing w:after="120" w:line="360" w:lineRule="auto"/>
        <w:ind w:firstLine="420"/>
        <w:jc w:val="both"/>
        <w:rPr>
          <w:lang w:eastAsia="zh-CN"/>
        </w:rPr>
      </w:pPr>
      <w:r>
        <w:rPr>
          <w:rFonts w:ascii="宋体" w:hAnsi="宋体" w:eastAsia="宋体"/>
          <w:sz w:val="21"/>
          <w:lang w:eastAsia="zh-CN"/>
        </w:rPr>
        <w:t>面向机器人皮肤、工业检测、可穿戴设备等场景，研究新型力/触觉传感器的设计、制备、标定与系统集成。重点探索高灵敏度、高分辨率、多模态、大面积柔性触觉感知技术，实现对接触力、压力分布、剪切力、滑动、纹理、温度等多维物理信息的精准测量。</w:t>
      </w:r>
    </w:p>
    <w:p w14:paraId="3F1292CB">
      <w:pPr>
        <w:spacing w:after="120" w:line="360" w:lineRule="auto"/>
        <w:ind w:firstLine="420"/>
        <w:jc w:val="both"/>
        <w:rPr>
          <w:lang w:eastAsia="zh-CN"/>
        </w:rPr>
      </w:pPr>
      <w:r>
        <w:rPr>
          <w:rFonts w:ascii="宋体" w:hAnsi="宋体" w:eastAsia="宋体"/>
          <w:sz w:val="21"/>
          <w:lang w:eastAsia="zh-CN"/>
        </w:rPr>
        <w:t>具体包括但不限于：基于电容/压阻/压电/摩擦电/光学（视觉触觉）等原理的柔性传感器阵列；三维力/力矩传感器；多模态（力-热-质）融合传感；自供电与无线传感；传感器动态标定与解耦算法；视触融合感知系统等。鼓励基于导电聚合物、离子凝胶、织物电子、3D打印等新材料与新工艺开展传感器创新。</w:t>
      </w:r>
    </w:p>
    <w:p w14:paraId="46965AE6">
      <w:pPr>
        <w:spacing w:before="120" w:after="80" w:line="360" w:lineRule="auto"/>
        <w:ind w:left="567"/>
        <w:jc w:val="both"/>
        <w:rPr>
          <w:lang w:eastAsia="zh-CN"/>
        </w:rPr>
      </w:pPr>
      <w:r>
        <w:rPr>
          <w:rFonts w:ascii="黑体" w:hAnsi="黑体" w:eastAsia="黑体"/>
          <w:b/>
          <w:color w:val="C00000"/>
          <w:sz w:val="21"/>
          <w:lang w:eastAsia="zh-CN"/>
        </w:rPr>
        <w:t>【命题</w:t>
      </w:r>
      <w:r>
        <w:rPr>
          <w:rFonts w:hint="eastAsia" w:ascii="黑体" w:hAnsi="黑体" w:eastAsia="黑体"/>
          <w:b/>
          <w:color w:val="C00000"/>
          <w:sz w:val="21"/>
          <w:lang w:val="en-US" w:eastAsia="zh-CN"/>
        </w:rPr>
        <w:t>内容</w:t>
      </w:r>
      <w:r>
        <w:rPr>
          <w:rFonts w:ascii="黑体" w:hAnsi="黑体" w:eastAsia="黑体"/>
          <w:b/>
          <w:color w:val="C00000"/>
          <w:sz w:val="21"/>
          <w:lang w:eastAsia="zh-CN"/>
        </w:rPr>
        <w:t>】</w:t>
      </w:r>
      <w:r>
        <w:rPr>
          <w:rFonts w:ascii="黑体" w:hAnsi="黑体" w:eastAsia="黑体"/>
          <w:b/>
          <w:sz w:val="21"/>
          <w:lang w:eastAsia="zh-CN"/>
        </w:rPr>
        <w:t xml:space="preserve"> 面向具身遥操作的视触觉反馈与接触力估计</w:t>
      </w:r>
      <w:r>
        <w:rPr>
          <w:rFonts w:ascii="宋体" w:hAnsi="宋体" w:eastAsia="宋体"/>
          <w:sz w:val="21"/>
          <w:lang w:eastAsia="zh-CN"/>
        </w:rPr>
        <w:t xml:space="preserve"> </w:t>
      </w:r>
    </w:p>
    <w:p w14:paraId="112A0BA4">
      <w:pPr>
        <w:spacing w:after="80" w:line="360" w:lineRule="auto"/>
        <w:ind w:left="850"/>
        <w:jc w:val="both"/>
        <w:rPr>
          <w:lang w:eastAsia="zh-CN"/>
        </w:rPr>
      </w:pPr>
      <w:r>
        <w:rPr>
          <w:rFonts w:ascii="宋体" w:hAnsi="宋体" w:eastAsia="宋体"/>
          <w:sz w:val="20"/>
          <w:lang w:eastAsia="zh-CN"/>
        </w:rPr>
        <w:t>面向复杂环境下的机器人精细操作任务，单一视觉感知难以完整获取机器人与环境交互过程中的接触状态及力学信息，已成为制约高精度遥操作与具身智能系统性能提升的重要因素。在精密抓取、柔顺装配及插拔操作等典型任务中，接触位置、接触面积、局部形变及作用力等信息直接影响操作过程的稳定性与任务成功率。传统力传感器通常侧重整体受力测量，在接触区域分布信息获取和复杂接触状态表征方面存在局限。视触觉传感器通过光学成像获取接触界面形变与纹理等信息，可实现接触状态识别、力信息估计及触觉反馈，为机器人建立更丰富的环境交互感知能力，为高精度远程操作提供重要技术支撑。</w:t>
      </w:r>
    </w:p>
    <w:p w14:paraId="150D3D24">
      <w:pPr>
        <w:spacing w:after="80" w:line="360" w:lineRule="auto"/>
        <w:ind w:left="850"/>
        <w:jc w:val="both"/>
        <w:rPr>
          <w:lang w:eastAsia="zh-CN"/>
        </w:rPr>
      </w:pPr>
      <w:r>
        <w:rPr>
          <w:rFonts w:ascii="宋体" w:hAnsi="宋体" w:eastAsia="宋体"/>
          <w:sz w:val="20"/>
          <w:lang w:eastAsia="zh-CN"/>
        </w:rPr>
        <w:t>任务目标：面向远程精细操作任务，设计并实现基于视触觉传感器的高保真触觉感知、接触力估计与反馈系统。参赛队伍需完成视触觉数据采集与处理，提取接触过程中的关键视觉触觉特征，实现接触状态识别以及接触力、力分布等信息的准确估计；在此基础上，自主设计触觉信息编码与反馈方式，将机器人端获取的触觉与力学信息以适宜的形式实时传递至操作者端，形成感知、估计、反馈、操作的闭环。重点考察复杂接触条件下的感知与力估计精度、动态响应能力及反馈时延，并通过典型远程精细操作任务验证系统的有效性，形成完整、可运行的软硬件系统及算法方案。</w:t>
      </w:r>
    </w:p>
    <w:p w14:paraId="37EF4826">
      <w:pPr>
        <w:spacing w:after="80" w:line="360" w:lineRule="auto"/>
        <w:ind w:left="850"/>
        <w:jc w:val="both"/>
        <w:rPr>
          <w:lang w:eastAsia="zh-CN"/>
        </w:rPr>
      </w:pPr>
      <w:r>
        <w:rPr>
          <w:rFonts w:ascii="宋体" w:hAnsi="宋体" w:eastAsia="宋体"/>
          <w:sz w:val="20"/>
          <w:lang w:eastAsia="zh-CN"/>
        </w:rPr>
        <w:t>技术指标：接触状态识别准确率≥95%；法向接触力估计相对误差≤10%；触觉反馈时延≤100ms；支持典型远程精细操作任务验证。</w:t>
      </w:r>
    </w:p>
    <w:p w14:paraId="7B3B41BE">
      <w:pPr>
        <w:spacing w:before="240" w:after="120" w:line="440" w:lineRule="exact"/>
        <w:jc w:val="both"/>
        <w:rPr>
          <w:lang w:eastAsia="zh-CN"/>
        </w:rPr>
      </w:pPr>
      <w:r>
        <w:rPr>
          <w:rFonts w:ascii="黑体" w:hAnsi="黑体" w:eastAsia="黑体"/>
          <w:b/>
          <w:sz w:val="24"/>
          <w:lang w:eastAsia="zh-CN"/>
        </w:rPr>
        <w:t>方向3：灵巧抓取</w:t>
      </w:r>
    </w:p>
    <w:p w14:paraId="2B56054B">
      <w:pPr>
        <w:spacing w:after="120" w:line="360" w:lineRule="auto"/>
        <w:ind w:firstLine="420"/>
        <w:jc w:val="both"/>
        <w:rPr>
          <w:lang w:eastAsia="zh-CN"/>
        </w:rPr>
      </w:pPr>
      <w:r>
        <w:rPr>
          <w:rFonts w:ascii="宋体" w:hAnsi="宋体" w:eastAsia="宋体"/>
          <w:sz w:val="21"/>
          <w:lang w:eastAsia="zh-CN"/>
        </w:rPr>
        <w:t>面向工业分拣、家庭服务、物流仓储、果蔬采摘等场景，研究基于力触觉感知的机器人灵巧抓取与精细操作。重点探索未知/异形物体的自适应抓取策略、接触力/滑移实时检测与反馈控制、多指协同操作与手指内操作（in-hand manipulation）等关键技术。</w:t>
      </w:r>
    </w:p>
    <w:p w14:paraId="1E15DE0C">
      <w:pPr>
        <w:spacing w:after="120" w:line="360" w:lineRule="auto"/>
        <w:ind w:firstLine="420"/>
        <w:jc w:val="both"/>
        <w:rPr>
          <w:lang w:eastAsia="zh-CN"/>
        </w:rPr>
      </w:pPr>
      <w:r>
        <w:rPr>
          <w:rFonts w:ascii="宋体" w:hAnsi="宋体" w:eastAsia="宋体"/>
          <w:sz w:val="21"/>
          <w:lang w:eastAsia="zh-CN"/>
        </w:rPr>
        <w:t>具体包括但不限于：软体/刚性混合夹爪设计、阻抗/导纳控制、触觉伺服（tactile servoing）、抓取稳定性判据、滑动检测与防脱落策略、操作技能学习与强化学习、视触融合抓取规划、多模态抓取状态估计等。鼓励使用自研或开源灵巧手平台结合触觉感知实现智能抓取。</w:t>
      </w:r>
    </w:p>
    <w:p w14:paraId="47F436FE">
      <w:pPr>
        <w:spacing w:before="120" w:after="80" w:line="360" w:lineRule="auto"/>
        <w:ind w:left="567"/>
        <w:jc w:val="both"/>
        <w:rPr>
          <w:lang w:eastAsia="zh-CN"/>
        </w:rPr>
      </w:pPr>
      <w:r>
        <w:rPr>
          <w:rFonts w:ascii="黑体" w:hAnsi="黑体" w:eastAsia="黑体"/>
          <w:b/>
          <w:color w:val="C00000"/>
          <w:sz w:val="21"/>
          <w:lang w:eastAsia="zh-CN"/>
        </w:rPr>
        <w:t>【命题</w:t>
      </w:r>
      <w:r>
        <w:rPr>
          <w:rFonts w:hint="eastAsia" w:ascii="黑体" w:hAnsi="黑体" w:eastAsia="黑体"/>
          <w:b/>
          <w:color w:val="C00000"/>
          <w:sz w:val="21"/>
          <w:lang w:val="en-US" w:eastAsia="zh-CN"/>
        </w:rPr>
        <w:t>内容</w:t>
      </w:r>
      <w:r>
        <w:rPr>
          <w:rFonts w:ascii="黑体" w:hAnsi="黑体" w:eastAsia="黑体"/>
          <w:b/>
          <w:color w:val="C00000"/>
          <w:sz w:val="21"/>
          <w:lang w:eastAsia="zh-CN"/>
        </w:rPr>
        <w:t>】</w:t>
      </w:r>
      <w:r>
        <w:rPr>
          <w:rFonts w:ascii="黑体" w:hAnsi="黑体" w:eastAsia="黑体"/>
          <w:b/>
          <w:sz w:val="21"/>
          <w:lang w:eastAsia="zh-CN"/>
        </w:rPr>
        <w:t xml:space="preserve"> 五指灵巧操作-软果采摘方向</w:t>
      </w:r>
      <w:r>
        <w:rPr>
          <w:rFonts w:ascii="宋体" w:hAnsi="宋体" w:eastAsia="宋体"/>
          <w:sz w:val="21"/>
          <w:lang w:eastAsia="zh-CN"/>
        </w:rPr>
        <w:t xml:space="preserve"> </w:t>
      </w:r>
    </w:p>
    <w:p w14:paraId="7EEE96CB">
      <w:pPr>
        <w:spacing w:after="80" w:line="360" w:lineRule="auto"/>
        <w:ind w:left="850"/>
        <w:jc w:val="both"/>
        <w:rPr>
          <w:lang w:eastAsia="zh-CN"/>
        </w:rPr>
      </w:pPr>
      <w:r>
        <w:rPr>
          <w:rFonts w:ascii="宋体" w:hAnsi="宋体" w:eastAsia="宋体"/>
          <w:sz w:val="20"/>
          <w:lang w:eastAsia="zh-CN"/>
        </w:rPr>
        <w:t>软果（葡萄、提子、草莓、圣女果等）采摘是果蔬生产中劳动强度大、季节性强、用工成本最高的环节之一。软果果皮薄、组织柔软、易破损，采摘时对接触力与夹持力控制要求极高。传统刚性夹爪缺乏力感知与柔顺控制能力，难以兼顾"托得住、不伤果、剪得准"三者。灵巧手凭借多指协同、多模态触觉感知与柔顺控制能力，为软果无损采摘提供了关键技术支撑。参赛团队需设计并实现一套灵巧手软果采摘系统，完成"托举接果—果茎剪切—无损放置"的完整闭环。</w:t>
      </w:r>
    </w:p>
    <w:p w14:paraId="2626E75D">
      <w:pPr>
        <w:spacing w:before="240" w:after="120" w:line="440" w:lineRule="exact"/>
        <w:jc w:val="both"/>
        <w:rPr>
          <w:lang w:eastAsia="zh-CN"/>
        </w:rPr>
      </w:pPr>
      <w:r>
        <w:rPr>
          <w:rFonts w:ascii="黑体" w:hAnsi="黑体" w:eastAsia="黑体"/>
          <w:b/>
          <w:sz w:val="24"/>
          <w:lang w:eastAsia="zh-CN"/>
        </w:rPr>
        <w:t>方向4：VR/AR 触觉呈现</w:t>
      </w:r>
    </w:p>
    <w:p w14:paraId="3D86B3A7">
      <w:pPr>
        <w:spacing w:after="120" w:line="360" w:lineRule="auto"/>
        <w:ind w:firstLine="420"/>
        <w:jc w:val="both"/>
        <w:rPr>
          <w:lang w:eastAsia="zh-CN"/>
        </w:rPr>
      </w:pPr>
      <w:r>
        <w:rPr>
          <w:rFonts w:ascii="宋体" w:hAnsi="宋体" w:eastAsia="宋体"/>
          <w:sz w:val="21"/>
          <w:lang w:eastAsia="zh-CN"/>
        </w:rPr>
        <w:t>面向虚拟培训、游戏娱乐、数字孪生、远程协作等场景，研究虚拟/增强现实中的触觉渲染、编码与呈现技术。重点探索虚拟环境物理属性（刚度、阻尼、纹理、形状）的触觉化表达，以及多模态（视-听-触）融合的自然交互体验。</w:t>
      </w:r>
    </w:p>
    <w:p w14:paraId="73A6D17A">
      <w:pPr>
        <w:spacing w:after="120" w:line="360" w:lineRule="auto"/>
        <w:ind w:firstLine="420"/>
        <w:jc w:val="both"/>
        <w:rPr>
          <w:lang w:eastAsia="zh-CN"/>
        </w:rPr>
      </w:pPr>
      <w:r>
        <w:rPr>
          <w:rFonts w:ascii="宋体" w:hAnsi="宋体" w:eastAsia="宋体"/>
          <w:sz w:val="21"/>
          <w:lang w:eastAsia="zh-CN"/>
        </w:rPr>
        <w:t>具体包括但不限于：基于振动/皮肤拉伸/压力/超声/电刺激的触觉反馈装置（手套、背心、手柄、笔等）；刚度/纹理/形状虚拟化渲染算法；触觉感知替代与增强（sensory substitution）；伪触觉（pseudo-haptics）效应利用；触觉编解码与信息压缩；多通道触觉协同呈现等。鼓励使用自研或开源振动阵列、气动/软体触觉执行器等方案。</w:t>
      </w:r>
    </w:p>
    <w:p w14:paraId="61BF1DEB">
      <w:pPr>
        <w:spacing w:before="120" w:after="80" w:line="360" w:lineRule="auto"/>
        <w:ind w:left="567"/>
        <w:jc w:val="both"/>
        <w:rPr>
          <w:lang w:eastAsia="zh-CN"/>
        </w:rPr>
      </w:pPr>
      <w:r>
        <w:rPr>
          <w:rFonts w:ascii="黑体" w:hAnsi="黑体" w:eastAsia="黑体"/>
          <w:b/>
          <w:color w:val="C00000"/>
          <w:sz w:val="21"/>
          <w:lang w:eastAsia="zh-CN"/>
        </w:rPr>
        <w:t>【命题</w:t>
      </w:r>
      <w:r>
        <w:rPr>
          <w:rFonts w:hint="eastAsia" w:ascii="黑体" w:hAnsi="黑体" w:eastAsia="黑体"/>
          <w:b/>
          <w:color w:val="C00000"/>
          <w:sz w:val="21"/>
          <w:lang w:val="en-US" w:eastAsia="zh-CN"/>
        </w:rPr>
        <w:t>内容</w:t>
      </w:r>
      <w:r>
        <w:rPr>
          <w:rFonts w:ascii="黑体" w:hAnsi="黑体" w:eastAsia="黑体"/>
          <w:b/>
          <w:color w:val="C00000"/>
          <w:sz w:val="21"/>
          <w:lang w:eastAsia="zh-CN"/>
        </w:rPr>
        <w:t>】</w:t>
      </w:r>
      <w:r>
        <w:rPr>
          <w:rFonts w:ascii="黑体" w:hAnsi="黑体" w:eastAsia="黑体"/>
          <w:b/>
          <w:sz w:val="21"/>
          <w:lang w:eastAsia="zh-CN"/>
        </w:rPr>
        <w:t xml:space="preserve"> 基于力反馈的VR手术仿真培训系统</w:t>
      </w:r>
      <w:r>
        <w:rPr>
          <w:rFonts w:ascii="宋体" w:hAnsi="宋体" w:eastAsia="宋体"/>
          <w:sz w:val="21"/>
          <w:lang w:eastAsia="zh-CN"/>
        </w:rPr>
        <w:t xml:space="preserve"> </w:t>
      </w:r>
    </w:p>
    <w:p w14:paraId="1BCF3587">
      <w:pPr>
        <w:spacing w:after="80" w:line="360" w:lineRule="auto"/>
        <w:ind w:left="850"/>
        <w:jc w:val="both"/>
        <w:rPr>
          <w:rFonts w:ascii="宋体" w:hAnsi="宋体" w:eastAsia="宋体"/>
          <w:sz w:val="20"/>
          <w:lang w:eastAsia="zh-CN"/>
        </w:rPr>
      </w:pPr>
      <w:r>
        <w:rPr>
          <w:rFonts w:ascii="宋体" w:hAnsi="宋体" w:eastAsia="宋体"/>
          <w:sz w:val="20"/>
          <w:lang w:eastAsia="zh-CN"/>
        </w:rPr>
        <w:t>传统外科手术培训长期依赖尸体解剖、动物实验和学徒制教学模式，面临成本高昂、资源有限、学习曲线漫长、无法重复练习等困境。VR手术仿真系统因其可无限重复、零风险、低成本的优势，正成为医学教育的重要工具，但现有系统普遍缺乏真实触觉反馈。</w:t>
      </w:r>
    </w:p>
    <w:p w14:paraId="2C715ECD">
      <w:pPr>
        <w:spacing w:after="80" w:line="360" w:lineRule="auto"/>
        <w:ind w:left="850"/>
        <w:jc w:val="both"/>
        <w:rPr>
          <w:rFonts w:ascii="宋体" w:hAnsi="宋体" w:eastAsia="宋体"/>
          <w:sz w:val="20"/>
          <w:lang w:eastAsia="zh-CN"/>
        </w:rPr>
      </w:pPr>
    </w:p>
    <w:p w14:paraId="0D998EBF">
      <w:pPr>
        <w:spacing w:before="240" w:after="120" w:line="440" w:lineRule="exact"/>
        <w:jc w:val="both"/>
        <w:rPr>
          <w:rFonts w:hint="default" w:ascii="黑体" w:hAnsi="黑体" w:eastAsia="黑体"/>
          <w:b/>
          <w:sz w:val="24"/>
          <w:lang w:val="en-US" w:eastAsia="zh-CN"/>
        </w:rPr>
      </w:pPr>
      <w:r>
        <w:rPr>
          <w:rFonts w:hint="eastAsia" w:ascii="黑体" w:hAnsi="黑体" w:eastAsia="黑体"/>
          <w:b/>
          <w:sz w:val="24"/>
          <w:lang w:val="en-US" w:eastAsia="zh-CN"/>
        </w:rPr>
        <w:t>专项赛道：（方向5-6）</w:t>
      </w:r>
    </w:p>
    <w:p w14:paraId="7745477E">
      <w:pPr>
        <w:spacing w:before="240" w:after="120" w:line="440" w:lineRule="exact"/>
        <w:jc w:val="both"/>
        <w:rPr>
          <w:lang w:eastAsia="zh-CN"/>
        </w:rPr>
      </w:pPr>
      <w:r>
        <w:rPr>
          <w:rFonts w:ascii="黑体" w:hAnsi="黑体" w:eastAsia="黑体"/>
          <w:b/>
          <w:sz w:val="24"/>
          <w:lang w:eastAsia="zh-CN"/>
        </w:rPr>
        <w:t>方向5：医工交叉赛道——触觉（医疗、康复）机器人</w:t>
      </w:r>
    </w:p>
    <w:p w14:paraId="37D4A99B">
      <w:pPr>
        <w:spacing w:after="120" w:line="360" w:lineRule="auto"/>
        <w:ind w:firstLine="420"/>
        <w:jc w:val="both"/>
        <w:rPr>
          <w:lang w:eastAsia="zh-CN"/>
        </w:rPr>
      </w:pPr>
      <w:r>
        <w:rPr>
          <w:rFonts w:ascii="宋体" w:hAnsi="宋体" w:eastAsia="宋体"/>
          <w:sz w:val="21"/>
          <w:lang w:eastAsia="zh-CN"/>
        </w:rPr>
        <w:t>面向手术机器人、康复训练、辅助诊疗等场景，研究力触觉反馈在医疗机器人中的安全交互与精准操作。拓展医学触觉感知应用，包括智能触诊辅助、可穿戴康复触觉反馈、手术导航力反馈、健康监测触觉传感等。不局限于机器人本体，允许纯传感装置、算法系统或仿真平台参赛。</w:t>
      </w:r>
    </w:p>
    <w:p w14:paraId="3DB011D3">
      <w:pPr>
        <w:spacing w:before="240" w:after="120" w:line="440" w:lineRule="exact"/>
        <w:jc w:val="both"/>
        <w:rPr>
          <w:lang w:eastAsia="zh-CN"/>
        </w:rPr>
      </w:pPr>
      <w:r>
        <w:rPr>
          <w:rFonts w:ascii="黑体" w:hAnsi="黑体" w:eastAsia="黑体"/>
          <w:b/>
          <w:sz w:val="24"/>
          <w:lang w:eastAsia="zh-CN"/>
        </w:rPr>
        <w:t>方向6：农工交叉赛道——智慧农业触觉感知</w:t>
      </w:r>
    </w:p>
    <w:p w14:paraId="26A8A74B">
      <w:pPr>
        <w:spacing w:after="120" w:line="360" w:lineRule="auto"/>
        <w:ind w:firstLine="420"/>
        <w:jc w:val="both"/>
        <w:rPr>
          <w:lang w:eastAsia="zh-CN"/>
        </w:rPr>
      </w:pPr>
      <w:r>
        <w:rPr>
          <w:rFonts w:ascii="宋体" w:hAnsi="宋体" w:eastAsia="宋体"/>
          <w:sz w:val="21"/>
          <w:lang w:eastAsia="zh-CN"/>
        </w:rPr>
        <w:t>面向农产品品质无损检测、智能采摘、土壤/作物物理特性感知、农业装备人机交互等场景。鼓励使用自研传感装置、便携式检测探头、视觉触觉融合方案等，实现农业场景下的触觉感知与智能决策。</w:t>
      </w:r>
    </w:p>
    <w:p w14:paraId="2F26A158">
      <w:pPr>
        <w:spacing w:before="120" w:after="80" w:line="360" w:lineRule="auto"/>
        <w:ind w:left="567"/>
        <w:jc w:val="both"/>
        <w:rPr>
          <w:lang w:eastAsia="zh-CN"/>
        </w:rPr>
      </w:pPr>
      <w:r>
        <w:rPr>
          <w:rFonts w:ascii="黑体" w:hAnsi="黑体" w:eastAsia="黑体"/>
          <w:b/>
          <w:color w:val="C00000"/>
          <w:sz w:val="21"/>
          <w:lang w:eastAsia="zh-CN"/>
        </w:rPr>
        <w:t>【命题</w:t>
      </w:r>
      <w:r>
        <w:rPr>
          <w:rFonts w:hint="eastAsia" w:ascii="黑体" w:hAnsi="黑体" w:eastAsia="黑体"/>
          <w:b/>
          <w:color w:val="C00000"/>
          <w:sz w:val="21"/>
          <w:lang w:val="en-US" w:eastAsia="zh-CN"/>
        </w:rPr>
        <w:t>内容</w:t>
      </w:r>
      <w:r>
        <w:rPr>
          <w:rFonts w:ascii="黑体" w:hAnsi="黑体" w:eastAsia="黑体"/>
          <w:b/>
          <w:color w:val="C00000"/>
          <w:sz w:val="21"/>
          <w:lang w:eastAsia="zh-CN"/>
        </w:rPr>
        <w:t>】</w:t>
      </w:r>
      <w:r>
        <w:rPr>
          <w:rFonts w:ascii="黑体" w:hAnsi="黑体" w:eastAsia="黑体"/>
          <w:b/>
          <w:sz w:val="21"/>
          <w:lang w:eastAsia="zh-CN"/>
        </w:rPr>
        <w:t xml:space="preserve"> 五指灵巧操作-软果采摘方向</w:t>
      </w:r>
    </w:p>
    <w:p w14:paraId="7808702D">
      <w:pPr>
        <w:spacing w:after="80" w:line="360" w:lineRule="auto"/>
        <w:ind w:left="850"/>
        <w:jc w:val="both"/>
        <w:rPr>
          <w:lang w:eastAsia="zh-CN"/>
        </w:rPr>
      </w:pPr>
      <w:r>
        <w:rPr>
          <w:rFonts w:ascii="宋体" w:hAnsi="宋体" w:eastAsia="宋体"/>
          <w:sz w:val="20"/>
          <w:lang w:eastAsia="zh-CN"/>
        </w:rPr>
        <w:t>本命题面向农工交叉赛道，考察双臂灵巧手在真实软果采摘场景中的力触觉感知、柔顺抓取与剪切协同能力。参赛团队需基于灵巧手，设计并实现软果无损采摘系统，完成果实接触检测、夹持力实时估计、双臂协同剪切等任务。技术指标包括采摘成功率≥90%、果实破损率≤5%、夹持力控制误差≤0.5N、剪切定位误差≤5mm等。</w:t>
      </w:r>
    </w:p>
    <w:p w14:paraId="686D4D6B">
      <w:pPr>
        <w:spacing w:before="240" w:after="120" w:line="440" w:lineRule="exact"/>
        <w:jc w:val="both"/>
        <w:rPr>
          <w:lang w:eastAsia="zh-CN"/>
        </w:rPr>
      </w:pPr>
      <w:r>
        <w:rPr>
          <w:rFonts w:ascii="黑体" w:hAnsi="黑体" w:eastAsia="黑体"/>
          <w:b/>
          <w:sz w:val="24"/>
          <w:lang w:eastAsia="zh-CN"/>
        </w:rPr>
        <w:t>特色</w:t>
      </w:r>
      <w:r>
        <w:rPr>
          <w:rFonts w:hint="eastAsia" w:ascii="黑体" w:hAnsi="黑体" w:eastAsia="黑体"/>
          <w:b/>
          <w:sz w:val="24"/>
          <w:lang w:val="en-US" w:eastAsia="zh-CN"/>
        </w:rPr>
        <w:t>赛道</w:t>
      </w:r>
      <w:r>
        <w:rPr>
          <w:rFonts w:ascii="黑体" w:hAnsi="黑体" w:eastAsia="黑体"/>
          <w:b/>
          <w:sz w:val="24"/>
          <w:lang w:eastAsia="zh-CN"/>
        </w:rPr>
        <w:t>："筝BOT"——机器人古筝演奏挑战赛</w:t>
      </w:r>
    </w:p>
    <w:p w14:paraId="652C7520">
      <w:pPr>
        <w:spacing w:after="120" w:line="360" w:lineRule="auto"/>
        <w:ind w:firstLine="420"/>
        <w:jc w:val="both"/>
        <w:rPr>
          <w:lang w:eastAsia="zh-CN"/>
        </w:rPr>
      </w:pPr>
      <w:r>
        <w:rPr>
          <w:rFonts w:ascii="宋体" w:hAnsi="宋体" w:eastAsia="宋体"/>
          <w:sz w:val="21"/>
          <w:lang w:eastAsia="zh-CN"/>
        </w:rPr>
        <w:t>"筝BOT"是本届力触觉技术及应用大赛特别设立的特色挑战项目，由</w:t>
      </w:r>
      <w:r>
        <w:rPr>
          <w:rFonts w:ascii="宋体" w:hAnsi="宋体" w:eastAsia="宋体"/>
          <w:color w:val="FF0000"/>
          <w:sz w:val="21"/>
          <w:lang w:eastAsia="zh-CN"/>
        </w:rPr>
        <w:t>北京灵心巧手机器人公司独家</w:t>
      </w:r>
      <w:r>
        <w:rPr>
          <w:rFonts w:hint="eastAsia" w:ascii="宋体" w:hAnsi="宋体" w:eastAsia="宋体"/>
          <w:color w:val="FF0000"/>
          <w:sz w:val="21"/>
          <w:lang w:val="en-US" w:eastAsia="zh-CN"/>
        </w:rPr>
        <w:t>提供所需设备</w:t>
      </w:r>
      <w:r>
        <w:rPr>
          <w:rFonts w:ascii="宋体" w:hAnsi="宋体" w:eastAsia="宋体"/>
          <w:color w:val="FF0000"/>
          <w:sz w:val="21"/>
          <w:lang w:eastAsia="zh-CN"/>
        </w:rPr>
        <w:t>。</w:t>
      </w:r>
      <w:r>
        <w:rPr>
          <w:rFonts w:ascii="宋体" w:hAnsi="宋体" w:eastAsia="宋体"/>
          <w:sz w:val="21"/>
          <w:lang w:eastAsia="zh-CN"/>
        </w:rPr>
        <w:t>该项目将传统民族乐器演奏与机器人灵巧操作技术深度融合，旨在考察机器人在高精度力控、多指协同、节奏感知与情感表达等方面的综合能力，展示力触觉技术在文化艺术领域的创新应用。</w:t>
      </w:r>
    </w:p>
    <w:p w14:paraId="759642C9">
      <w:pPr>
        <w:spacing w:before="160" w:after="80" w:line="400" w:lineRule="exact"/>
        <w:jc w:val="both"/>
        <w:rPr>
          <w:lang w:eastAsia="zh-CN"/>
        </w:rPr>
      </w:pPr>
      <w:r>
        <w:rPr>
          <w:rFonts w:ascii="黑体" w:hAnsi="黑体" w:eastAsia="黑体"/>
          <w:b/>
          <w:lang w:eastAsia="zh-CN"/>
        </w:rPr>
        <w:t>项目背景</w:t>
      </w:r>
    </w:p>
    <w:p w14:paraId="208D0405">
      <w:pPr>
        <w:spacing w:after="120" w:line="360" w:lineRule="auto"/>
        <w:ind w:firstLine="420"/>
        <w:jc w:val="both"/>
        <w:rPr>
          <w:lang w:eastAsia="zh-CN"/>
        </w:rPr>
      </w:pPr>
      <w:r>
        <w:rPr>
          <w:rFonts w:ascii="宋体" w:hAnsi="宋体" w:eastAsia="宋体"/>
          <w:sz w:val="21"/>
          <w:lang w:eastAsia="zh-CN"/>
        </w:rPr>
        <w:t>古筝作为中国传统弹拨乐器，其演奏技法丰富多样，包括托、劈、抹、挑、勾、剔、打、摘等基本指法，以及摇指、轮指、刮奏、泛音等高级技巧。演奏过程中，手指与琴弦的接触力、拨弦角度、触弦深度、离弦速度等参数共同决定了音色的明暗、刚柔与韵味。机器人演奏古筝不仅需要精确的位置控制，更需要细腻的力触觉感知与反馈能力，是检验灵巧操作与力控技术的理想平台。</w:t>
      </w:r>
    </w:p>
    <w:p w14:paraId="5CDFF5FA">
      <w:pPr>
        <w:spacing w:before="160" w:after="80" w:line="400" w:lineRule="exact"/>
        <w:jc w:val="both"/>
        <w:rPr>
          <w:lang w:eastAsia="zh-CN"/>
        </w:rPr>
      </w:pPr>
      <w:r>
        <w:rPr>
          <w:rFonts w:ascii="黑体" w:hAnsi="黑体" w:eastAsia="黑体"/>
          <w:b/>
          <w:lang w:eastAsia="zh-CN"/>
        </w:rPr>
        <w:t>任务目标</w:t>
      </w:r>
    </w:p>
    <w:p w14:paraId="16EC6093">
      <w:pPr>
        <w:spacing w:after="120" w:line="360" w:lineRule="auto"/>
        <w:ind w:firstLine="420"/>
        <w:jc w:val="both"/>
        <w:rPr>
          <w:lang w:eastAsia="zh-CN"/>
        </w:rPr>
      </w:pPr>
      <w:r>
        <w:rPr>
          <w:rFonts w:ascii="宋体" w:hAnsi="宋体" w:eastAsia="宋体"/>
          <w:sz w:val="21"/>
          <w:lang w:eastAsia="zh-CN"/>
        </w:rPr>
        <w:t>参赛团队需设计并实现一套能够自主或半自主演奏古筝的机器人系统，完成以下任务：</w:t>
      </w:r>
    </w:p>
    <w:p w14:paraId="05419856">
      <w:pPr>
        <w:spacing w:before="40" w:after="40" w:line="360" w:lineRule="auto"/>
        <w:ind w:left="567" w:hanging="283"/>
        <w:jc w:val="both"/>
        <w:rPr>
          <w:lang w:eastAsia="zh-CN"/>
        </w:rPr>
      </w:pPr>
      <w:r>
        <w:rPr>
          <w:rFonts w:ascii="宋体" w:hAnsi="宋体" w:eastAsia="宋体"/>
          <w:sz w:val="21"/>
          <w:lang w:eastAsia="zh-CN"/>
        </w:rPr>
        <w:t>基础任务（必做）：完成指定曲目（如《渔舟唱晚》《高山流水》等经典片段）的完整演奏，要求音准准确、节奏稳定、音色清晰可辨；</w:t>
      </w:r>
    </w:p>
    <w:p w14:paraId="407DBFCF">
      <w:pPr>
        <w:spacing w:before="40" w:after="40" w:line="360" w:lineRule="auto"/>
        <w:ind w:left="567" w:hanging="283"/>
        <w:jc w:val="both"/>
        <w:rPr>
          <w:lang w:eastAsia="zh-CN"/>
        </w:rPr>
      </w:pPr>
      <w:r>
        <w:rPr>
          <w:rFonts w:ascii="宋体" w:hAnsi="宋体" w:eastAsia="宋体"/>
          <w:sz w:val="21"/>
          <w:lang w:eastAsia="zh-CN"/>
        </w:rPr>
        <w:t>进阶任务（选做）：实现揉弦、滑音、颤音等装饰性技法，展现音乐表现力；支持实时视奏——根据乐谱图像或MIDI输入即时生成演奏动作；</w:t>
      </w:r>
    </w:p>
    <w:p w14:paraId="33343441">
      <w:pPr>
        <w:spacing w:before="40" w:after="40" w:line="360" w:lineRule="auto"/>
        <w:ind w:left="567" w:hanging="283"/>
        <w:jc w:val="both"/>
        <w:rPr>
          <w:lang w:eastAsia="zh-CN"/>
        </w:rPr>
      </w:pPr>
      <w:r>
        <w:rPr>
          <w:rFonts w:ascii="宋体" w:hAnsi="宋体" w:eastAsia="宋体"/>
          <w:sz w:val="21"/>
          <w:lang w:eastAsia="zh-CN"/>
        </w:rPr>
        <w:t>挑战任务（选做）：实现人机协奏——与人类演奏者实时互动，根据人类演奏的速度、力度变化动态调整自身演奏参数；探索即兴演奏能力，基于和声规则生成符合音乐逻辑的即兴旋律。</w:t>
      </w:r>
    </w:p>
    <w:p w14:paraId="74C56319">
      <w:pPr>
        <w:spacing w:before="160" w:after="80" w:line="400" w:lineRule="exact"/>
        <w:jc w:val="both"/>
        <w:rPr>
          <w:lang w:eastAsia="zh-CN"/>
        </w:rPr>
      </w:pPr>
      <w:r>
        <w:rPr>
          <w:rFonts w:ascii="黑体" w:hAnsi="黑体" w:eastAsia="黑体"/>
          <w:b/>
          <w:lang w:eastAsia="zh-CN"/>
        </w:rPr>
        <w:t>技术指标</w:t>
      </w:r>
    </w:p>
    <w:p w14:paraId="5377ACD8">
      <w:pPr>
        <w:spacing w:after="120" w:line="360" w:lineRule="auto"/>
        <w:ind w:firstLine="420"/>
        <w:jc w:val="both"/>
        <w:rPr>
          <w:lang w:eastAsia="zh-CN"/>
        </w:rPr>
      </w:pPr>
      <w:r>
        <w:rPr>
          <w:rFonts w:ascii="宋体" w:hAnsi="宋体" w:eastAsia="宋体"/>
          <w:sz w:val="21"/>
          <w:lang w:eastAsia="zh-CN"/>
        </w:rPr>
        <w:t>音准误差：音高偏差不超过±10音分；节奏精度：节拍误差不超过±50ms；触弦力控分辨率：≤0.05N；拨弦角度控制精度：≤2°；系统响应延迟：从接收到演奏指令到实际拨弦动作完成≤100ms；连续演奏稳定性：完成指定曲目全程无中断、无错音。</w:t>
      </w:r>
    </w:p>
    <w:p w14:paraId="312EB090">
      <w:pPr>
        <w:spacing w:before="160" w:after="80" w:line="400" w:lineRule="exact"/>
        <w:jc w:val="both"/>
        <w:rPr>
          <w:lang w:eastAsia="zh-CN"/>
        </w:rPr>
      </w:pPr>
      <w:r>
        <w:rPr>
          <w:rFonts w:ascii="黑体" w:hAnsi="黑体" w:eastAsia="黑体"/>
          <w:b/>
          <w:lang w:eastAsia="zh-CN"/>
        </w:rPr>
        <w:t>评审机制</w:t>
      </w:r>
    </w:p>
    <w:p w14:paraId="673852D6">
      <w:pPr>
        <w:spacing w:after="120" w:line="360" w:lineRule="auto"/>
        <w:ind w:firstLine="420"/>
        <w:jc w:val="both"/>
        <w:rPr>
          <w:lang w:eastAsia="zh-CN"/>
        </w:rPr>
      </w:pPr>
      <w:r>
        <w:rPr>
          <w:rFonts w:ascii="宋体" w:hAnsi="宋体" w:eastAsia="宋体"/>
          <w:sz w:val="21"/>
          <w:lang w:eastAsia="zh-CN"/>
        </w:rPr>
        <w:t>筝BOT挑战赛设立双评审团机制：</w:t>
      </w:r>
    </w:p>
    <w:p w14:paraId="76CEC35D">
      <w:pPr>
        <w:spacing w:before="40" w:after="40" w:line="360" w:lineRule="auto"/>
        <w:ind w:left="567" w:hanging="283"/>
        <w:jc w:val="both"/>
        <w:rPr>
          <w:lang w:eastAsia="zh-CN"/>
        </w:rPr>
      </w:pPr>
      <w:r>
        <w:rPr>
          <w:rFonts w:ascii="宋体" w:hAnsi="宋体" w:eastAsia="宋体"/>
          <w:sz w:val="21"/>
          <w:lang w:eastAsia="zh-CN"/>
        </w:rPr>
        <w:t>科学评审团：由力触觉技术、机器人控制、人工智能领域专家组成，重点评审系统的技术先进性、力控精度、算法创新性及工程实现难度；</w:t>
      </w:r>
    </w:p>
    <w:p w14:paraId="7529CF00">
      <w:pPr>
        <w:spacing w:before="40" w:after="40" w:line="360" w:lineRule="auto"/>
        <w:ind w:left="567" w:hanging="283"/>
        <w:jc w:val="both"/>
        <w:rPr>
          <w:lang w:eastAsia="zh-CN"/>
        </w:rPr>
      </w:pPr>
      <w:r>
        <w:rPr>
          <w:rFonts w:ascii="宋体" w:hAnsi="宋体" w:eastAsia="宋体"/>
          <w:sz w:val="21"/>
          <w:lang w:eastAsia="zh-CN"/>
        </w:rPr>
        <w:t>艺术评审团：由古筝演奏家、音乐教育家、民族音乐研究学者组成，重点评审演奏的音准节奏、音色表现、音乐感染力及对传统技法的还原度。</w:t>
      </w:r>
    </w:p>
    <w:p w14:paraId="5FF73BE4">
      <w:pPr>
        <w:spacing w:after="120" w:line="360" w:lineRule="auto"/>
        <w:ind w:firstLine="420"/>
        <w:jc w:val="both"/>
        <w:rPr>
          <w:lang w:eastAsia="zh-CN"/>
        </w:rPr>
      </w:pPr>
      <w:r>
        <w:rPr>
          <w:rFonts w:ascii="宋体" w:hAnsi="宋体" w:eastAsia="宋体"/>
          <w:sz w:val="21"/>
          <w:lang w:eastAsia="zh-CN"/>
        </w:rPr>
        <w:t>最终成绩由科学评审团评分（占60%）与艺术评审团评分（占40%）加权计算得出。</w:t>
      </w:r>
    </w:p>
    <w:p w14:paraId="66B89D06">
      <w:pPr>
        <w:spacing w:before="240" w:after="160" w:line="360" w:lineRule="auto"/>
        <w:jc w:val="both"/>
        <w:rPr>
          <w:lang w:eastAsia="zh-CN"/>
        </w:rPr>
      </w:pPr>
      <w:r>
        <w:rPr>
          <w:rFonts w:ascii="黑体" w:hAnsi="黑体" w:eastAsia="黑体"/>
          <w:b/>
          <w:sz w:val="21"/>
          <w:lang w:eastAsia="zh-CN"/>
        </w:rPr>
        <w:t>兼报规则：</w:t>
      </w:r>
      <w:r>
        <w:rPr>
          <w:rFonts w:ascii="宋体" w:hAnsi="宋体" w:eastAsia="宋体"/>
          <w:sz w:val="21"/>
          <w:lang w:eastAsia="zh-CN"/>
        </w:rPr>
        <w:t>鼓励跨赛道融合创新。报名方向1—4（</w:t>
      </w:r>
      <w:r>
        <w:rPr>
          <w:rFonts w:hint="eastAsia" w:ascii="宋体" w:hAnsi="宋体" w:eastAsia="宋体"/>
          <w:sz w:val="21"/>
          <w:lang w:val="en-US" w:eastAsia="zh-CN"/>
        </w:rPr>
        <w:t>主</w:t>
      </w:r>
      <w:r>
        <w:rPr>
          <w:rFonts w:ascii="宋体" w:hAnsi="宋体" w:eastAsia="宋体"/>
          <w:sz w:val="21"/>
          <w:lang w:eastAsia="zh-CN"/>
        </w:rPr>
        <w:t>赛道）的团队，可同时兼报方向5（医工交叉赛道）或方向6（农工交叉赛道）；同理，报名方向5或方向6（专项赛道）的团队，亦可同时兼报方向1—4中相关方向。同一作品如同时涉及</w:t>
      </w:r>
      <w:r>
        <w:rPr>
          <w:rFonts w:hint="eastAsia" w:ascii="宋体" w:hAnsi="宋体" w:eastAsia="宋体"/>
          <w:sz w:val="21"/>
          <w:lang w:val="en-US" w:eastAsia="zh-CN"/>
        </w:rPr>
        <w:t>主</w:t>
      </w:r>
      <w:r>
        <w:rPr>
          <w:rFonts w:ascii="宋体" w:hAnsi="宋体" w:eastAsia="宋体"/>
          <w:sz w:val="21"/>
          <w:lang w:eastAsia="zh-CN"/>
        </w:rPr>
        <w:t>赛道与专项赛道内容，可分别提交对应提案，独立参与各赛道评审。特色</w:t>
      </w:r>
      <w:r>
        <w:rPr>
          <w:rFonts w:hint="eastAsia" w:ascii="宋体" w:hAnsi="宋体" w:eastAsia="宋体"/>
          <w:sz w:val="21"/>
          <w:lang w:val="en-US" w:eastAsia="zh-CN"/>
        </w:rPr>
        <w:t>赛道</w:t>
      </w:r>
      <w:r>
        <w:rPr>
          <w:rFonts w:ascii="宋体" w:hAnsi="宋体" w:eastAsia="宋体"/>
          <w:sz w:val="21"/>
          <w:lang w:eastAsia="zh-CN"/>
        </w:rPr>
        <w:t>"筝BOT"可独立报名，不与上述六个方向冲突，获奖团队可同时获得方向奖项与特色项目奖项。</w:t>
      </w:r>
    </w:p>
    <w:p w14:paraId="63790F20">
      <w:pPr>
        <w:spacing w:after="240"/>
        <w:jc w:val="right"/>
      </w:pPr>
    </w:p>
    <w:sectPr>
      <w:pgSz w:w="11906" w:h="16838"/>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100CE"/>
    <w:rsid w:val="0015074B"/>
    <w:rsid w:val="0029639D"/>
    <w:rsid w:val="00326F90"/>
    <w:rsid w:val="005113F5"/>
    <w:rsid w:val="006246E7"/>
    <w:rsid w:val="008A78B2"/>
    <w:rsid w:val="00904498"/>
    <w:rsid w:val="00AA1D8D"/>
    <w:rsid w:val="00B47730"/>
    <w:rsid w:val="00CB0664"/>
    <w:rsid w:val="00EC7BA6"/>
    <w:rsid w:val="00FC693F"/>
    <w:rsid w:val="084C008E"/>
    <w:rsid w:val="36DE736F"/>
    <w:rsid w:val="3A2A0E10"/>
    <w:rsid w:val="3A367732"/>
    <w:rsid w:val="5C4F2CA4"/>
    <w:rsid w:val="5F8A0070"/>
    <w:rsid w:val="7F462FC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qFormat="1"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67"/>
    <w:unhideWhenUsed/>
    <w:qFormat/>
    <w:uiPriority w:val="99"/>
  </w:style>
  <w:style w:type="paragraph" w:styleId="18">
    <w:name w:val="Body Text 3"/>
    <w:basedOn w:val="1"/>
    <w:link w:val="149"/>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7"/>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9"/>
    <w:unhideWhenUsed/>
    <w:qFormat/>
    <w:uiPriority w:val="99"/>
    <w:pPr>
      <w:tabs>
        <w:tab w:val="center" w:pos="4680"/>
        <w:tab w:val="right" w:pos="9360"/>
      </w:tabs>
      <w:spacing w:after="0" w:line="240" w:lineRule="auto"/>
    </w:pPr>
  </w:style>
  <w:style w:type="paragraph" w:styleId="26">
    <w:name w:val="header"/>
    <w:basedOn w:val="1"/>
    <w:link w:val="138"/>
    <w:unhideWhenUsed/>
    <w:qFormat/>
    <w:uiPriority w:val="99"/>
    <w:pPr>
      <w:tabs>
        <w:tab w:val="center" w:pos="4680"/>
        <w:tab w:val="right" w:pos="9360"/>
      </w:tabs>
      <w:spacing w:after="0" w:line="240" w:lineRule="auto"/>
    </w:pPr>
  </w:style>
  <w:style w:type="paragraph" w:styleId="27">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8"/>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3">
    <w:name w:val="annotation subject"/>
    <w:basedOn w:val="17"/>
    <w:next w:val="17"/>
    <w:link w:val="168"/>
    <w:semiHidden/>
    <w:unhideWhenUsed/>
    <w:qFormat/>
    <w:uiPriority w:val="99"/>
    <w:rPr>
      <w:b/>
      <w:bCs/>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annotation reference"/>
    <w:basedOn w:val="134"/>
    <w:semiHidden/>
    <w:unhideWhenUsed/>
    <w:qFormat/>
    <w:uiPriority w:val="99"/>
    <w:rPr>
      <w:sz w:val="21"/>
      <w:szCs w:val="21"/>
    </w:rPr>
  </w:style>
  <w:style w:type="character" w:customStyle="1" w:styleId="138">
    <w:name w:val="页眉 字符"/>
    <w:basedOn w:val="134"/>
    <w:link w:val="26"/>
    <w:qFormat/>
    <w:uiPriority w:val="99"/>
  </w:style>
  <w:style w:type="character" w:customStyle="1" w:styleId="139">
    <w:name w:val="页脚 字符"/>
    <w:basedOn w:val="134"/>
    <w:link w:val="25"/>
    <w:qFormat/>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标题 1 字符"/>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标题 2 字符"/>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标题 3 字符"/>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标题 字符"/>
    <w:basedOn w:val="134"/>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副标题 字符"/>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正文文本 字符"/>
    <w:basedOn w:val="134"/>
    <w:link w:val="20"/>
    <w:qFormat/>
    <w:uiPriority w:val="99"/>
  </w:style>
  <w:style w:type="character" w:customStyle="1" w:styleId="148">
    <w:name w:val="正文文本 2 字符"/>
    <w:basedOn w:val="134"/>
    <w:link w:val="29"/>
    <w:qFormat/>
    <w:uiPriority w:val="99"/>
  </w:style>
  <w:style w:type="character" w:customStyle="1" w:styleId="149">
    <w:name w:val="正文文本 3 字符"/>
    <w:basedOn w:val="134"/>
    <w:link w:val="18"/>
    <w:qFormat/>
    <w:uiPriority w:val="99"/>
    <w:rPr>
      <w:sz w:val="16"/>
      <w:szCs w:val="16"/>
    </w:rPr>
  </w:style>
  <w:style w:type="character" w:customStyle="1" w:styleId="150">
    <w:name w:val="宏文本 字符"/>
    <w:basedOn w:val="134"/>
    <w:link w:val="2"/>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引用 字符"/>
    <w:basedOn w:val="134"/>
    <w:link w:val="151"/>
    <w:qFormat/>
    <w:uiPriority w:val="29"/>
    <w:rPr>
      <w:i/>
      <w:iCs/>
      <w:color w:val="000000" w:themeColor="text1"/>
      <w14:textFill>
        <w14:solidFill>
          <w14:schemeClr w14:val="tx1"/>
        </w14:solidFill>
      </w14:textFill>
    </w:rPr>
  </w:style>
  <w:style w:type="character" w:customStyle="1" w:styleId="153">
    <w:name w:val="标题 4 字符"/>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标题 5 字符"/>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5">
    <w:name w:val="标题 6 字符"/>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6">
    <w:name w:val="标题 7 字符"/>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标题 8 字符"/>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标题 9 字符"/>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明显引用 字符"/>
    <w:basedOn w:val="134"/>
    <w:link w:val="159"/>
    <w:qFormat/>
    <w:uiPriority w:val="30"/>
    <w:rPr>
      <w:b/>
      <w:bCs/>
      <w:i/>
      <w:iCs/>
      <w:color w:val="4F81BD" w:themeColor="accent1"/>
      <w14:textFill>
        <w14:solidFill>
          <w14:schemeClr w14:val="accent1"/>
        </w14:solidFill>
      </w14:textFill>
    </w:rPr>
  </w:style>
  <w:style w:type="character" w:customStyle="1" w:styleId="161">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4"/>
    <w:qFormat/>
    <w:uiPriority w:val="21"/>
    <w:rPr>
      <w:b/>
      <w:bCs/>
      <w:i/>
      <w:iCs/>
      <w:color w:val="4F81BD" w:themeColor="accent1"/>
      <w14:textFill>
        <w14:solidFill>
          <w14:schemeClr w14:val="accent1"/>
        </w14:solidFill>
      </w14:textFill>
    </w:rPr>
  </w:style>
  <w:style w:type="character" w:customStyle="1" w:styleId="163">
    <w:name w:val="Subtle Reference"/>
    <w:basedOn w:val="134"/>
    <w:qFormat/>
    <w:uiPriority w:val="31"/>
    <w:rPr>
      <w:smallCaps/>
      <w:color w:val="C0504D" w:themeColor="accent2"/>
      <w:u w:val="single"/>
      <w14:textFill>
        <w14:solidFill>
          <w14:schemeClr w14:val="accent2"/>
        </w14:solidFill>
      </w14:textFill>
    </w:rPr>
  </w:style>
  <w:style w:type="character" w:customStyle="1" w:styleId="164">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4"/>
    <w:qFormat/>
    <w:uiPriority w:val="33"/>
    <w:rPr>
      <w:b/>
      <w:bCs/>
      <w:smallCaps/>
      <w:spacing w:val="5"/>
    </w:rPr>
  </w:style>
  <w:style w:type="paragraph" w:customStyle="1" w:styleId="166">
    <w:name w:val="TOC Heading"/>
    <w:basedOn w:val="3"/>
    <w:next w:val="1"/>
    <w:semiHidden/>
    <w:unhideWhenUsed/>
    <w:qFormat/>
    <w:uiPriority w:val="39"/>
    <w:pPr>
      <w:outlineLvl w:val="9"/>
    </w:pPr>
  </w:style>
  <w:style w:type="character" w:customStyle="1" w:styleId="167">
    <w:name w:val="批注文字 字符"/>
    <w:basedOn w:val="134"/>
    <w:link w:val="17"/>
    <w:qFormat/>
    <w:uiPriority w:val="99"/>
  </w:style>
  <w:style w:type="character" w:customStyle="1" w:styleId="168">
    <w:name w:val="批注主题 字符"/>
    <w:basedOn w:val="167"/>
    <w:link w:val="33"/>
    <w:semiHidden/>
    <w:qFormat/>
    <w:uiPriority w:val="99"/>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0862E-1542-4E3B-BAF2-D9E2E970F639}">
  <ds:schemaRefs/>
</ds:datastoreItem>
</file>

<file path=docProps/app.xml><?xml version="1.0" encoding="utf-8"?>
<Properties xmlns="http://schemas.openxmlformats.org/officeDocument/2006/extended-properties" xmlns:vt="http://schemas.openxmlformats.org/officeDocument/2006/docPropsVTypes">
  <Template>Normal</Template>
  <Pages>5</Pages>
  <Words>3721</Words>
  <Characters>3854</Characters>
  <Lines>60</Lines>
  <Paragraphs>16</Paragraphs>
  <TotalTime>82</TotalTime>
  <ScaleCrop>false</ScaleCrop>
  <LinksUpToDate>false</LinksUpToDate>
  <CharactersWithSpaces>3868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武娟</cp:lastModifiedBy>
  <dcterms:modified xsi:type="dcterms:W3CDTF">2026-09-28T01:12:39Z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eyJoZGlkIjoiZDMwZTk0ODg0YWE5NWFmNWFjYmQwMzA3NTBlYmM5NzEiLCJ1c2VySWQiOiI1MTM0MjUxNTEifQ==</vt:lpwstr>
  </property>
  <property fmtid="{D5CDD505-2E9C-101B-9397-08002B2CF9AE}" pid="3" name="KSOProductBuildVer">
    <vt:lpwstr>2052-12.1.0.28505</vt:lpwstr>
  </property>
  <property fmtid="{D5CDD505-2E9C-101B-9397-08002B2CF9AE}" pid="4" name="ICV">
    <vt:lpwstr>D3C2759641134D27AC4EC403439587DD_12</vt:lpwstr>
  </property>
</Properties>
</file>